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7D3371" w14:textId="501DEBCB" w:rsidR="005F7B94" w:rsidRPr="00443C44" w:rsidRDefault="005F7B94" w:rsidP="005F7B94">
      <w:pPr>
        <w:rPr>
          <w:rFonts w:eastAsia="Times New Roman" w:cstheme="minorHAnsi"/>
          <w:b/>
          <w:bCs/>
          <w:i/>
          <w:iCs/>
          <w:color w:val="000000"/>
        </w:rPr>
      </w:pPr>
      <w:r w:rsidRPr="00443C44">
        <w:rPr>
          <w:b/>
          <w:bCs/>
        </w:rPr>
        <w:t xml:space="preserve">Bethany McNamara-Dale, </w:t>
      </w:r>
      <w:r w:rsidRPr="00443C44">
        <w:rPr>
          <w:rFonts w:eastAsia="Times New Roman" w:cstheme="minorHAnsi"/>
          <w:b/>
          <w:bCs/>
          <w:i/>
          <w:iCs/>
          <w:color w:val="000000"/>
        </w:rPr>
        <w:t>Administrative entanglements in nineteenth century German governance: socio-political change and </w:t>
      </w:r>
      <w:r w:rsidRPr="00443C44">
        <w:rPr>
          <w:rStyle w:val="xxcontentpasted1"/>
          <w:rFonts w:eastAsia="Times New Roman" w:cstheme="minorHAnsi"/>
          <w:b/>
          <w:bCs/>
          <w:i/>
          <w:iCs/>
          <w:color w:val="000000"/>
          <w:shd w:val="clear" w:color="auto" w:fill="FFFFFF"/>
        </w:rPr>
        <w:t>the challenges of legal harmonisation</w:t>
      </w:r>
      <w:r w:rsidRPr="00443C44">
        <w:rPr>
          <w:rFonts w:eastAsia="Times New Roman" w:cstheme="minorHAnsi"/>
          <w:b/>
          <w:bCs/>
          <w:i/>
          <w:iCs/>
          <w:color w:val="000000"/>
        </w:rPr>
        <w:t xml:space="preserve"> </w:t>
      </w:r>
    </w:p>
    <w:p w14:paraId="459296E0" w14:textId="40B72C2B" w:rsidR="005F7B94" w:rsidRDefault="005F7B94" w:rsidP="005F7B94">
      <w:pPr>
        <w:rPr>
          <w:rFonts w:eastAsia="Times New Roman" w:cstheme="minorHAnsi"/>
          <w:color w:val="000000"/>
        </w:rPr>
      </w:pPr>
      <w:r>
        <w:rPr>
          <w:rFonts w:eastAsia="Times New Roman" w:cstheme="minorHAnsi"/>
          <w:color w:val="000000"/>
        </w:rPr>
        <w:t xml:space="preserve">Her thesis looks at the interaction between reform and jurisdictional issues in Germany under three regimes: the Holy Roman Empire, </w:t>
      </w:r>
      <w:r w:rsidR="001F0DC7">
        <w:rPr>
          <w:rFonts w:eastAsia="Times New Roman" w:cstheme="minorHAnsi"/>
          <w:color w:val="000000"/>
        </w:rPr>
        <w:t xml:space="preserve">the </w:t>
      </w:r>
      <w:proofErr w:type="spellStart"/>
      <w:r w:rsidR="001F0DC7">
        <w:rPr>
          <w:rFonts w:eastAsia="Times New Roman" w:cstheme="minorHAnsi"/>
          <w:color w:val="000000"/>
        </w:rPr>
        <w:t>Rheinbund</w:t>
      </w:r>
      <w:proofErr w:type="spellEnd"/>
      <w:r w:rsidR="001F0DC7">
        <w:rPr>
          <w:rFonts w:eastAsia="Times New Roman" w:cstheme="minorHAnsi"/>
          <w:color w:val="000000"/>
        </w:rPr>
        <w:t xml:space="preserve"> and the </w:t>
      </w:r>
      <w:proofErr w:type="gramStart"/>
      <w:r w:rsidR="001F0DC7">
        <w:rPr>
          <w:rFonts w:eastAsia="Times New Roman" w:cstheme="minorHAnsi"/>
          <w:color w:val="000000"/>
        </w:rPr>
        <w:t xml:space="preserve">German </w:t>
      </w:r>
      <w:r>
        <w:rPr>
          <w:rFonts w:eastAsia="Times New Roman" w:cstheme="minorHAnsi"/>
          <w:color w:val="000000"/>
        </w:rPr>
        <w:t xml:space="preserve"> Confederation</w:t>
      </w:r>
      <w:proofErr w:type="gramEnd"/>
      <w:r>
        <w:rPr>
          <w:rFonts w:eastAsia="Times New Roman" w:cstheme="minorHAnsi"/>
          <w:color w:val="000000"/>
        </w:rPr>
        <w:t xml:space="preserve"> emphasising the significance of legal culture, focussing on the in-many-ways contrasting cases of Bavaria and Hesse</w:t>
      </w:r>
      <w:r w:rsidR="00F24528">
        <w:rPr>
          <w:rFonts w:eastAsia="Times New Roman" w:cstheme="minorHAnsi"/>
          <w:color w:val="000000"/>
        </w:rPr>
        <w:t>n</w:t>
      </w:r>
      <w:r>
        <w:rPr>
          <w:rFonts w:eastAsia="Times New Roman" w:cstheme="minorHAnsi"/>
          <w:color w:val="000000"/>
        </w:rPr>
        <w:t>-Kassel (known as Kur-Hesse</w:t>
      </w:r>
      <w:r w:rsidR="00F24528">
        <w:rPr>
          <w:rFonts w:eastAsia="Times New Roman" w:cstheme="minorHAnsi"/>
          <w:color w:val="000000"/>
        </w:rPr>
        <w:t>n</w:t>
      </w:r>
      <w:r>
        <w:rPr>
          <w:rFonts w:eastAsia="Times New Roman" w:cstheme="minorHAnsi"/>
          <w:color w:val="000000"/>
        </w:rPr>
        <w:t xml:space="preserve"> after its ruler was raised to the status of elector, a title he continued to use after the Restoration). In her talk, she would focus on the period of the Confederation, the most material for the democracy project.</w:t>
      </w:r>
    </w:p>
    <w:p w14:paraId="592D02C7" w14:textId="1602F272" w:rsidR="005F7B94" w:rsidRDefault="005F7B94" w:rsidP="005F7B94">
      <w:pPr>
        <w:rPr>
          <w:rFonts w:eastAsia="Times New Roman" w:cstheme="minorHAnsi"/>
          <w:color w:val="000000"/>
        </w:rPr>
      </w:pPr>
      <w:r>
        <w:rPr>
          <w:rFonts w:eastAsia="Times New Roman" w:cstheme="minorHAnsi"/>
          <w:color w:val="000000"/>
        </w:rPr>
        <w:t xml:space="preserve">Pejorative views of the German institutional inheritance – as fragmentary, reflecting delayed modernisation and setting Germany on a </w:t>
      </w:r>
      <w:r>
        <w:rPr>
          <w:rFonts w:eastAsia="Times New Roman" w:cstheme="minorHAnsi"/>
          <w:i/>
          <w:iCs/>
          <w:color w:val="000000"/>
        </w:rPr>
        <w:t xml:space="preserve">Sonderweg </w:t>
      </w:r>
      <w:r>
        <w:rPr>
          <w:rFonts w:eastAsia="Times New Roman" w:cstheme="minorHAnsi"/>
          <w:color w:val="000000"/>
        </w:rPr>
        <w:t xml:space="preserve">– have been challenged by </w:t>
      </w:r>
      <w:proofErr w:type="spellStart"/>
      <w:proofErr w:type="gramStart"/>
      <w:r>
        <w:rPr>
          <w:rFonts w:eastAsia="Times New Roman" w:cstheme="minorHAnsi"/>
          <w:color w:val="000000"/>
        </w:rPr>
        <w:t>eg</w:t>
      </w:r>
      <w:proofErr w:type="spellEnd"/>
      <w:proofErr w:type="gramEnd"/>
      <w:r>
        <w:rPr>
          <w:rFonts w:eastAsia="Times New Roman" w:cstheme="minorHAnsi"/>
          <w:color w:val="000000"/>
        </w:rPr>
        <w:t xml:space="preserve"> Barbara Stollberg-</w:t>
      </w:r>
      <w:proofErr w:type="spellStart"/>
      <w:r>
        <w:rPr>
          <w:rFonts w:eastAsia="Times New Roman" w:cstheme="minorHAnsi"/>
          <w:color w:val="000000"/>
        </w:rPr>
        <w:t>Rillinger</w:t>
      </w:r>
      <w:proofErr w:type="spellEnd"/>
      <w:r>
        <w:rPr>
          <w:rFonts w:eastAsia="Times New Roman" w:cstheme="minorHAnsi"/>
          <w:color w:val="000000"/>
        </w:rPr>
        <w:t xml:space="preserve"> and Peter Wilson. English language work on the following period, the era of the Confederation, is </w:t>
      </w:r>
      <w:proofErr w:type="gramStart"/>
      <w:r>
        <w:rPr>
          <w:rFonts w:eastAsia="Times New Roman" w:cstheme="minorHAnsi"/>
          <w:color w:val="000000"/>
        </w:rPr>
        <w:t>scanty  and</w:t>
      </w:r>
      <w:proofErr w:type="gramEnd"/>
      <w:r>
        <w:rPr>
          <w:rFonts w:eastAsia="Times New Roman" w:cstheme="minorHAnsi"/>
          <w:color w:val="000000"/>
        </w:rPr>
        <w:t xml:space="preserve"> heavily biased towards Prussia and Austria (though Abigail Green’s </w:t>
      </w:r>
      <w:r>
        <w:rPr>
          <w:rFonts w:eastAsia="Times New Roman" w:cstheme="minorHAnsi"/>
          <w:i/>
          <w:iCs/>
          <w:color w:val="000000"/>
        </w:rPr>
        <w:t xml:space="preserve">Fatherlands </w:t>
      </w:r>
      <w:r>
        <w:rPr>
          <w:rFonts w:eastAsia="Times New Roman" w:cstheme="minorHAnsi"/>
          <w:color w:val="000000"/>
        </w:rPr>
        <w:t>is an exception), and tend to organise around themes of liberalism and nationalism. By contrast, in the German-language historiography there are many diversely focussed local studies, funded by the Lander.</w:t>
      </w:r>
    </w:p>
    <w:p w14:paraId="636B6958" w14:textId="0832E827" w:rsidR="005F7B94" w:rsidRDefault="005F7B94" w:rsidP="005F7B94">
      <w:pPr>
        <w:rPr>
          <w:rFonts w:eastAsia="Times New Roman" w:cstheme="minorHAnsi"/>
          <w:color w:val="000000"/>
        </w:rPr>
      </w:pPr>
      <w:r>
        <w:rPr>
          <w:rFonts w:eastAsia="Times New Roman" w:cstheme="minorHAnsi"/>
          <w:color w:val="000000"/>
        </w:rPr>
        <w:t xml:space="preserve">The thesis is organised into five chronological chapters. Each covers the following themes: states’ rights; justice and administration; state and society; the role of supra-national bodies, and the relation between individual, </w:t>
      </w:r>
      <w:proofErr w:type="gramStart"/>
      <w:r>
        <w:rPr>
          <w:rFonts w:eastAsia="Times New Roman" w:cstheme="minorHAnsi"/>
          <w:color w:val="000000"/>
        </w:rPr>
        <w:t>community</w:t>
      </w:r>
      <w:proofErr w:type="gramEnd"/>
      <w:r>
        <w:rPr>
          <w:rFonts w:eastAsia="Times New Roman" w:cstheme="minorHAnsi"/>
          <w:color w:val="000000"/>
        </w:rPr>
        <w:t xml:space="preserve"> and state. Dividing the material up within this framework has been the most challenging part of writing up.</w:t>
      </w:r>
    </w:p>
    <w:p w14:paraId="52952B5D" w14:textId="67E0278E" w:rsidR="00BE4E01" w:rsidRDefault="00BE4E01" w:rsidP="005F7B94">
      <w:pPr>
        <w:rPr>
          <w:rFonts w:eastAsia="Times New Roman" w:cstheme="minorHAnsi"/>
          <w:color w:val="000000"/>
        </w:rPr>
      </w:pPr>
      <w:r>
        <w:rPr>
          <w:rFonts w:eastAsia="Times New Roman" w:cstheme="minorHAnsi"/>
          <w:color w:val="000000"/>
        </w:rPr>
        <w:t>Her main theme is the centrality of German legal culture to any understanding of its political culture.</w:t>
      </w:r>
    </w:p>
    <w:p w14:paraId="36A2BE9F" w14:textId="3FB4EC8C" w:rsidR="00F24528" w:rsidRDefault="00F24528" w:rsidP="005F7B94">
      <w:pPr>
        <w:rPr>
          <w:rFonts w:eastAsia="Times New Roman" w:cstheme="minorHAnsi"/>
          <w:color w:val="000000"/>
        </w:rPr>
      </w:pPr>
      <w:r>
        <w:rPr>
          <w:rFonts w:eastAsia="Times New Roman" w:cstheme="minorHAnsi"/>
          <w:color w:val="000000"/>
        </w:rPr>
        <w:t>Contrasting case studies:</w:t>
      </w:r>
    </w:p>
    <w:p w14:paraId="23E01AFB" w14:textId="3C58B386" w:rsidR="00F24528" w:rsidRDefault="00F24528" w:rsidP="005F7B94">
      <w:pPr>
        <w:rPr>
          <w:rFonts w:eastAsia="Times New Roman" w:cstheme="minorHAnsi"/>
          <w:color w:val="000000"/>
        </w:rPr>
      </w:pPr>
      <w:r>
        <w:rPr>
          <w:rFonts w:eastAsia="Times New Roman" w:cstheme="minorHAnsi"/>
          <w:color w:val="000000"/>
        </w:rPr>
        <w:t>Bavaria became a kingdom 1806; gained significant new territory at the peace. Benefited from its relationship to France.</w:t>
      </w:r>
    </w:p>
    <w:p w14:paraId="4589F1BA" w14:textId="13EE33E4" w:rsidR="00F24528" w:rsidRDefault="00F24528" w:rsidP="005F7B94">
      <w:pPr>
        <w:rPr>
          <w:rFonts w:eastAsia="Times New Roman" w:cstheme="minorHAnsi"/>
          <w:color w:val="000000"/>
        </w:rPr>
      </w:pPr>
      <w:r>
        <w:rPr>
          <w:rFonts w:eastAsia="Times New Roman" w:cstheme="minorHAnsi"/>
          <w:color w:val="000000"/>
        </w:rPr>
        <w:t xml:space="preserve">Hessen-Kassel had in the eighteenth century (when it has been more studied) flourished as a ‘mercenary state’, renting out its subjects to other people’s armies. It gained electoral rights as late as 1803, holding these only until the dissolution of the empire in 1806, but continuing to value the title. It was occupied by the French in 1806 and absorbed into the kingdom of Westphalia. The elector would have liked to see the restoration of the Reich after </w:t>
      </w:r>
      <w:proofErr w:type="gramStart"/>
      <w:r>
        <w:rPr>
          <w:rFonts w:eastAsia="Times New Roman" w:cstheme="minorHAnsi"/>
          <w:color w:val="000000"/>
        </w:rPr>
        <w:t>1814, and</w:t>
      </w:r>
      <w:proofErr w:type="gramEnd"/>
      <w:r>
        <w:rPr>
          <w:rFonts w:eastAsia="Times New Roman" w:cstheme="minorHAnsi"/>
          <w:color w:val="000000"/>
        </w:rPr>
        <w:t xml:space="preserve"> aimed to expunge the memory of the French period.</w:t>
      </w:r>
    </w:p>
    <w:p w14:paraId="007ADF19" w14:textId="32B6980D" w:rsidR="00F24528" w:rsidRDefault="00F24528" w:rsidP="005F7B94">
      <w:pPr>
        <w:rPr>
          <w:rFonts w:eastAsia="Times New Roman" w:cstheme="minorHAnsi"/>
          <w:color w:val="000000"/>
        </w:rPr>
      </w:pPr>
      <w:r>
        <w:rPr>
          <w:rFonts w:eastAsia="Times New Roman" w:cstheme="minorHAnsi"/>
          <w:color w:val="000000"/>
        </w:rPr>
        <w:t xml:space="preserve">The jurisdictional system was pluralistic: diverse and overlapping. It was characterised by practices of mediation, respect for privilege and proceeding by compromise to build consensus. Social structures were deeply intertwined with the jurisdictional system, and that represented a challenge to the </w:t>
      </w:r>
      <w:r w:rsidRPr="007A2650">
        <w:rPr>
          <w:rFonts w:eastAsia="Times New Roman" w:cstheme="minorHAnsi"/>
          <w:color w:val="000000"/>
        </w:rPr>
        <w:t>Confederation.</w:t>
      </w:r>
      <w:r w:rsidR="00980D6A" w:rsidRPr="007A2650">
        <w:rPr>
          <w:rFonts w:eastAsia="Times New Roman" w:cstheme="minorHAnsi"/>
          <w:color w:val="000000"/>
        </w:rPr>
        <w:t xml:space="preserve"> Adjudicating disputes with reference to established systems of legal right/privilege</w:t>
      </w:r>
      <w:r w:rsidR="00980D6A">
        <w:rPr>
          <w:rFonts w:eastAsia="Times New Roman" w:cstheme="minorHAnsi"/>
          <w:color w:val="000000"/>
        </w:rPr>
        <w:t xml:space="preserve"> </w:t>
      </w:r>
      <w:r w:rsidR="007A2650">
        <w:rPr>
          <w:rFonts w:eastAsia="Times New Roman" w:cstheme="minorHAnsi"/>
          <w:color w:val="000000"/>
        </w:rPr>
        <w:t>[‘</w:t>
      </w:r>
      <w:proofErr w:type="spellStart"/>
      <w:r w:rsidR="007A2650">
        <w:rPr>
          <w:rFonts w:eastAsia="Times New Roman" w:cstheme="minorHAnsi"/>
          <w:color w:val="000000"/>
        </w:rPr>
        <w:t>privilegium</w:t>
      </w:r>
      <w:proofErr w:type="spellEnd"/>
      <w:r w:rsidR="007A2650">
        <w:rPr>
          <w:rFonts w:eastAsia="Times New Roman" w:cstheme="minorHAnsi"/>
          <w:color w:val="000000"/>
        </w:rPr>
        <w:t xml:space="preserve">’] </w:t>
      </w:r>
      <w:r w:rsidR="00980D6A">
        <w:rPr>
          <w:rFonts w:eastAsia="Times New Roman" w:cstheme="minorHAnsi"/>
          <w:color w:val="000000"/>
        </w:rPr>
        <w:t>represented a technique for avoiding other forms of conflict. Cases often went on for decades. The system was protective of small states, who were consequently key supporters.</w:t>
      </w:r>
    </w:p>
    <w:p w14:paraId="3B0F805C" w14:textId="6EEAB947" w:rsidR="00774FE6" w:rsidRPr="007A2650" w:rsidRDefault="00980D6A">
      <w:pPr>
        <w:rPr>
          <w:rFonts w:eastAsia="Times New Roman" w:cstheme="minorHAnsi"/>
          <w:color w:val="000000"/>
        </w:rPr>
      </w:pPr>
      <w:r>
        <w:rPr>
          <w:rFonts w:eastAsia="Times New Roman" w:cstheme="minorHAnsi"/>
          <w:color w:val="000000"/>
        </w:rPr>
        <w:t xml:space="preserve">Unlike the HRE, the Confederation had no legal jurisdiction of its own. The initial idea was that Confederal institutions would evolve from the sketchy foundations outlined in the </w:t>
      </w:r>
      <w:proofErr w:type="spellStart"/>
      <w:r>
        <w:rPr>
          <w:rFonts w:eastAsia="Times New Roman" w:cstheme="minorHAnsi"/>
          <w:color w:val="000000"/>
        </w:rPr>
        <w:t>Bundesakte</w:t>
      </w:r>
      <w:proofErr w:type="spellEnd"/>
      <w:r>
        <w:rPr>
          <w:rFonts w:eastAsia="Times New Roman" w:cstheme="minorHAnsi"/>
          <w:color w:val="000000"/>
        </w:rPr>
        <w:t>, but that didn’t really happen, because other parties were unwilling to concede power.</w:t>
      </w:r>
      <w:r w:rsidR="007A2650">
        <w:rPr>
          <w:rFonts w:eastAsia="Times New Roman" w:cstheme="minorHAnsi"/>
          <w:color w:val="000000"/>
        </w:rPr>
        <w:t xml:space="preserve"> Commissions set up to carry on specific parts of the business </w:t>
      </w:r>
      <w:r>
        <w:rPr>
          <w:rFonts w:eastAsia="Times New Roman" w:cstheme="minorHAnsi"/>
          <w:color w:val="000000"/>
        </w:rPr>
        <w:t xml:space="preserve">of the Bund, when convened, </w:t>
      </w:r>
      <w:r w:rsidR="007A2650">
        <w:rPr>
          <w:rFonts w:eastAsia="Times New Roman" w:cstheme="minorHAnsi"/>
          <w:color w:val="000000"/>
        </w:rPr>
        <w:t>don’t usually seem to have achieved much</w:t>
      </w:r>
      <w:r>
        <w:rPr>
          <w:rFonts w:eastAsia="Times New Roman" w:cstheme="minorHAnsi"/>
          <w:color w:val="000000"/>
        </w:rPr>
        <w:t>. In the absence of functioning legislative institutions, the Confederation was ruled by decree, notably the repressive Carlsbad decrees</w:t>
      </w:r>
      <w:r w:rsidR="00E3751A">
        <w:rPr>
          <w:rFonts w:eastAsia="Times New Roman" w:cstheme="minorHAnsi"/>
          <w:color w:val="000000"/>
        </w:rPr>
        <w:t xml:space="preserve">, which followed the Wartburg festival </w:t>
      </w:r>
      <w:hyperlink r:id="rId7" w:history="1">
        <w:r w:rsidR="00E3751A">
          <w:rPr>
            <w:rStyle w:val="Hyperlink"/>
          </w:rPr>
          <w:t>Wartburg Festival - Wikipedia</w:t>
        </w:r>
      </w:hyperlink>
      <w:r w:rsidR="00E3751A">
        <w:t xml:space="preserve"> and the assassination of </w:t>
      </w:r>
      <w:proofErr w:type="spellStart"/>
      <w:r w:rsidR="00E3751A">
        <w:t>Kotzbue</w:t>
      </w:r>
      <w:proofErr w:type="spellEnd"/>
      <w:r w:rsidR="00E3751A">
        <w:t>. Metternich said the decrees were necessary to protect the monarchical principle</w:t>
      </w:r>
      <w:r w:rsidR="007A2650">
        <w:t xml:space="preserve"> (in this context, </w:t>
      </w:r>
      <w:proofErr w:type="gramStart"/>
      <w:r w:rsidR="007A2650">
        <w:t>meaning effectively</w:t>
      </w:r>
      <w:proofErr w:type="gramEnd"/>
      <w:r w:rsidR="007A2650">
        <w:t xml:space="preserve"> the authority of the </w:t>
      </w:r>
      <w:r w:rsidR="007A2650">
        <w:lastRenderedPageBreak/>
        <w:t>Confederation)</w:t>
      </w:r>
      <w:r w:rsidR="00E3751A">
        <w:t xml:space="preserve">. But though such decrees notionally applied to all states, in practice states could cherry-pick what to implement. The Carlsbad decrees were made permanent from 1824. </w:t>
      </w:r>
      <w:r w:rsidR="006B00AA">
        <w:t>The Confederation’s more developed institutions all similarly related to security. The theory was that this was good for all Europe, preserving order and peace at its centre – continuing the ‘perpetual peace’ that the Holy Roman Empire had underwritten. [Diet of Worms, 1495, banned vendetta within the empire].</w:t>
      </w:r>
    </w:p>
    <w:p w14:paraId="283A5048" w14:textId="23460056" w:rsidR="006B00AA" w:rsidRDefault="006B00AA">
      <w:r>
        <w:t>At a time when the member states were increasingly equipping themselves with constitutions and giving a role to representative bodies, the Confederation’s reliance on decrees looked increasingly anomalous. And whereas the HRE had been seen to perform useful functions for members, by arbitrating differences [including sometimes differences between rulers and subjects], the Confederation looked purely repressive. Moreover, there was no legitimate channel through which to criticise it. Its public image worsened.</w:t>
      </w:r>
    </w:p>
    <w:p w14:paraId="17851B5B" w14:textId="368122F3" w:rsidR="00D96D15" w:rsidRDefault="006B00AA">
      <w:r>
        <w:t xml:space="preserve">There was a more direct confrontation in 1833, in Frankfurt, the so-called </w:t>
      </w:r>
      <w:proofErr w:type="spellStart"/>
      <w:r>
        <w:t>Wachensturm</w:t>
      </w:r>
      <w:proofErr w:type="spellEnd"/>
      <w:r>
        <w:t xml:space="preserve"> </w:t>
      </w:r>
      <w:hyperlink r:id="rId8" w:history="1">
        <w:r>
          <w:rPr>
            <w:rStyle w:val="Hyperlink"/>
          </w:rPr>
          <w:t xml:space="preserve">Frankfurter </w:t>
        </w:r>
        <w:proofErr w:type="spellStart"/>
        <w:r>
          <w:rPr>
            <w:rStyle w:val="Hyperlink"/>
          </w:rPr>
          <w:t>Wachensturm</w:t>
        </w:r>
        <w:proofErr w:type="spellEnd"/>
        <w:r>
          <w:rPr>
            <w:rStyle w:val="Hyperlink"/>
          </w:rPr>
          <w:t xml:space="preserve"> - Wikipedia</w:t>
        </w:r>
      </w:hyperlink>
      <w:r>
        <w:t>, when some students stormed the Treasury of the Confederation to try to start a revolution across all German states.</w:t>
      </w:r>
      <w:r w:rsidR="00D96D15">
        <w:t xml:space="preserve"> It’s not very clear how they thought that would unfold. That was an explicitly political incident. Most of the unrest of the 1830s arose more from social grievances. Again, the response was essentially repressive: there was a renewed focus on policing students, and on censorship.</w:t>
      </w:r>
    </w:p>
    <w:p w14:paraId="12DC4625" w14:textId="34482BD6" w:rsidR="009B1582" w:rsidRDefault="009B1582">
      <w:r>
        <w:t>In the ‘middle states’ (</w:t>
      </w:r>
      <w:proofErr w:type="spellStart"/>
      <w:proofErr w:type="gramStart"/>
      <w:r>
        <w:t>ie</w:t>
      </w:r>
      <w:proofErr w:type="spellEnd"/>
      <w:proofErr w:type="gramEnd"/>
      <w:r>
        <w:t xml:space="preserve"> </w:t>
      </w:r>
      <w:proofErr w:type="spellStart"/>
      <w:r>
        <w:t>mid size</w:t>
      </w:r>
      <w:proofErr w:type="spellEnd"/>
      <w:r>
        <w:t xml:space="preserve">), </w:t>
      </w:r>
      <w:r w:rsidR="00DA7407">
        <w:t>the issue of whether the Confederation did or did not provide a useful overarching framework was especially pressing. Baden, for example, complained that it had been hoped that the Confederation would improve on the HRE, but for that to be the case it was essential that there should be some form of federal court.</w:t>
      </w:r>
    </w:p>
    <w:p w14:paraId="0B2D30EE" w14:textId="2F9F060D" w:rsidR="00DA7407" w:rsidRDefault="00DA7407">
      <w:r>
        <w:t>In relation to her case studies:</w:t>
      </w:r>
    </w:p>
    <w:p w14:paraId="6428D99B" w14:textId="57A639F2" w:rsidR="00DA7407" w:rsidRDefault="00DA7407">
      <w:pPr>
        <w:rPr>
          <w:i/>
          <w:iCs/>
        </w:rPr>
      </w:pPr>
      <w:r>
        <w:rPr>
          <w:i/>
          <w:iCs/>
        </w:rPr>
        <w:t>Bavaria</w:t>
      </w:r>
    </w:p>
    <w:p w14:paraId="46848972" w14:textId="6BFD5066" w:rsidR="00B712FA" w:rsidRDefault="007C2BA3">
      <w:r>
        <w:t xml:space="preserve">After the war of the Bavarian succession 1778-9 </w:t>
      </w:r>
      <w:hyperlink r:id="rId9" w:anchor=":~:text=The%20War%20of%20the%20Bavarian,of%20the%20House%20of%20Wittelsbach." w:history="1">
        <w:r>
          <w:rPr>
            <w:rStyle w:val="Hyperlink"/>
          </w:rPr>
          <w:t>War of the Bavarian Succession - Wikipedia</w:t>
        </w:r>
      </w:hyperlink>
      <w:r>
        <w:t xml:space="preserve">, </w:t>
      </w:r>
      <w:r w:rsidR="007A2650">
        <w:t>both Bavarian territories were united in one part of the Wittelsbach line (one of the two lines which had ruled the area since the fourteenth century having died out), though serious work to amalgamate the two didn’t begin till after the death of the first Elector to preside over the whole territory, in 1799.</w:t>
      </w:r>
    </w:p>
    <w:p w14:paraId="56267073" w14:textId="64F72C77" w:rsidR="00DA7407" w:rsidRDefault="007C2BA3">
      <w:r>
        <w:t xml:space="preserve">Maximilian became king when the electorate became a kingdom 1806. </w:t>
      </w:r>
      <w:proofErr w:type="spellStart"/>
      <w:r>
        <w:t>Montgelas</w:t>
      </w:r>
      <w:proofErr w:type="spellEnd"/>
      <w:r>
        <w:t>, his leading minister, oversaw various reforms.</w:t>
      </w:r>
      <w:r w:rsidR="00D61535">
        <w:t xml:space="preserve"> He is sometimes seen as a liberal, but was </w:t>
      </w:r>
      <w:proofErr w:type="gramStart"/>
      <w:r w:rsidR="00D61535">
        <w:t>really more</w:t>
      </w:r>
      <w:proofErr w:type="gramEnd"/>
      <w:r w:rsidR="00D61535">
        <w:t xml:space="preserve"> of a reforming bureaucrat, aiming to increase royal power – even if from as early as the 1820s he was sometimes portrayed as a poster boy for German constitutionalism. </w:t>
      </w:r>
      <w:r w:rsidR="00B712FA">
        <w:t>The background to these reforms was that A</w:t>
      </w:r>
      <w:r w:rsidR="00D61535">
        <w:t xml:space="preserve">ustrian refusal to accept Bavarian neutrality as between </w:t>
      </w:r>
      <w:r w:rsidR="00B712FA">
        <w:t xml:space="preserve">Napoleonic </w:t>
      </w:r>
      <w:r w:rsidR="00D61535">
        <w:t>France and Austria had pushed Bavaria into the arms of France.</w:t>
      </w:r>
      <w:r w:rsidR="00B712FA">
        <w:t xml:space="preserve"> This was a marriage of convenience, though. Bavaria’s engagement with the Code Napoleon was half-hearted, not extending much beyond claiming that things they did were ‘in the spirit’ of the Code.</w:t>
      </w:r>
    </w:p>
    <w:p w14:paraId="1C5D1971" w14:textId="2F98BBDB" w:rsidR="00B712FA" w:rsidRDefault="00B712FA">
      <w:r>
        <w:t xml:space="preserve">As usual, jurisdictional issues complicated the exercise of Bavarian rule. Privilege stood in the way of aspects of the reform agenda. Bavaria gained significant new territories at the Restoration – straddling the Rhine, with the acquisition of the Palatinate, but that meant amalgamating territories with varying jurisdictional legacies. It was far from easy to make progress with asserting control over the patrimonial judicial system. There was strong local support for maintenance of local control </w:t>
      </w:r>
      <w:r>
        <w:lastRenderedPageBreak/>
        <w:t>(Mack Walker discusses this).</w:t>
      </w:r>
      <w:r w:rsidR="00524C1C">
        <w:t xml:space="preserve"> Some royal officials were just run off; in other cases, localities litigated in defence of their position.</w:t>
      </w:r>
    </w:p>
    <w:p w14:paraId="6352034D" w14:textId="2F1B9583" w:rsidR="00524C1C" w:rsidRDefault="00524C1C">
      <w:r>
        <w:t>The main object of the 1818 Bavarian constitution was really to rationalise bureaucracy, without upsetting the territorial estates. It also aimed to preserve Bavarian authority in case the Bund woke up and started trying to rationalise from above on its own terms.</w:t>
      </w:r>
      <w:r w:rsidR="007A2650">
        <w:t xml:space="preserve"> Bavaria’s early experience of both reforms (</w:t>
      </w:r>
      <w:proofErr w:type="spellStart"/>
      <w:proofErr w:type="gramStart"/>
      <w:r w:rsidR="007A2650">
        <w:t>eg</w:t>
      </w:r>
      <w:proofErr w:type="spellEnd"/>
      <w:proofErr w:type="gramEnd"/>
      <w:r w:rsidR="007A2650">
        <w:t xml:space="preserve"> to patrimonial rights) and constitution helped it to avoid some of the conflicts that would trouble Kur-Hessen later.</w:t>
      </w:r>
    </w:p>
    <w:p w14:paraId="087F23A2" w14:textId="77777777" w:rsidR="0074493C" w:rsidRDefault="0074493C">
      <w:r>
        <w:t>By the 1840s, there was quite a lot of unrest, mainly socio-economic (prompted by the effects of poor harvests 1845-7), though also against the influence of Lola Montez (largely resolved when the king abdicated in favour of his son).</w:t>
      </w:r>
    </w:p>
    <w:p w14:paraId="442E954B" w14:textId="7575DEAF" w:rsidR="0074493C" w:rsidRDefault="0074493C">
      <w:r>
        <w:t xml:space="preserve">In 1848 there were changes </w:t>
      </w:r>
      <w:proofErr w:type="spellStart"/>
      <w:r>
        <w:t>esp</w:t>
      </w:r>
      <w:proofErr w:type="spellEnd"/>
      <w:r>
        <w:t xml:space="preserve"> to election provisions in the constitution; the estate element was removed altogether. </w:t>
      </w:r>
      <w:r w:rsidR="007A2650">
        <w:t xml:space="preserve">There was some debate about how the qualifying tax threshold should be set. </w:t>
      </w:r>
      <w:r w:rsidR="0059716F">
        <w:t>A property qualification remained, though it was lowered; voting remained indirect. The electorate expanded from 1.8% to 17% of the population. [</w:t>
      </w:r>
      <w:proofErr w:type="gramStart"/>
      <w:r w:rsidR="0059716F">
        <w:t>Actually</w:t>
      </w:r>
      <w:proofErr w:type="gramEnd"/>
      <w:r w:rsidR="0059716F">
        <w:t xml:space="preserve"> quite high, assuming only 25% of the population were adult males, so that would be the maximum]. In the second chamber, nobility and civil servants retained significant authority. Ministers were made accountable by law, and a constitutional court was ordered to be established, to protect communities – but never met!</w:t>
      </w:r>
    </w:p>
    <w:p w14:paraId="2BA2E600" w14:textId="31F67349" w:rsidR="0059716F" w:rsidRDefault="0059716F">
      <w:r>
        <w:t xml:space="preserve">After 1848 there was further, quiet, moderate reform. There was continuing talk about the pan-German nation, but this was mainly conceived in cultural terms: one shouldn’t overstate the ambitions of ‘nationalism’. The revolution had effects in practice as much as in law, galvanising the chamber to greater activity, </w:t>
      </w:r>
      <w:proofErr w:type="spellStart"/>
      <w:r>
        <w:t>esp</w:t>
      </w:r>
      <w:proofErr w:type="spellEnd"/>
      <w:r>
        <w:t xml:space="preserve"> in relation to budgets. The legislature also made some effort to refine jurisdictional boundaries. It also tried to separate justice from administration at the local level. One fruit of the revolution had been the abolition of patrimonial jurisdiction, which helped to open ground to other kinds of change. Though it wasn’t until 1861 that patrimonial jurisdiction was systematically abolished across the region</w:t>
      </w:r>
      <w:r w:rsidR="005A2BE5">
        <w:t xml:space="preserve"> – bringing institutional arrangements into line on both sides of the Rhine. Those who lost jurisdictional rights </w:t>
      </w:r>
      <w:proofErr w:type="gramStart"/>
      <w:r w:rsidR="005A2BE5">
        <w:t>as a result of</w:t>
      </w:r>
      <w:proofErr w:type="gramEnd"/>
      <w:r w:rsidR="005A2BE5">
        <w:t xml:space="preserve"> these reforms were compensated.</w:t>
      </w:r>
    </w:p>
    <w:p w14:paraId="7627DC52" w14:textId="3E50C6D5" w:rsidR="005A2BE5" w:rsidRDefault="005A2BE5">
      <w:r>
        <w:t>Under Maximilian II (1848-64) there was a change of tone. He favoured developing notions of citizenship, action on workers’ rights and agrarian reform, and generally trying to change society for the better.</w:t>
      </w:r>
    </w:p>
    <w:p w14:paraId="721E72F3" w14:textId="77777777" w:rsidR="00C5241E" w:rsidRDefault="00C5241E"/>
    <w:p w14:paraId="6F73B762" w14:textId="7D0E40D0" w:rsidR="00C5241E" w:rsidRDefault="00C5241E">
      <w:pPr>
        <w:rPr>
          <w:i/>
          <w:iCs/>
        </w:rPr>
      </w:pPr>
      <w:r>
        <w:rPr>
          <w:i/>
          <w:iCs/>
        </w:rPr>
        <w:t>Hessen-Kassel</w:t>
      </w:r>
    </w:p>
    <w:p w14:paraId="236FCA98" w14:textId="77777777" w:rsidR="008259C5" w:rsidRDefault="008259C5">
      <w:r>
        <w:t xml:space="preserve">An extremely different case. There were some minor enlightened reforms in the 1760-80s, but these were limited by the territorial estates. The acquisition of the electoral title in 1803 was seen as very important. </w:t>
      </w:r>
    </w:p>
    <w:p w14:paraId="2C57AD82" w14:textId="2BDA4A0B" w:rsidR="008259C5" w:rsidRDefault="008259C5">
      <w:r>
        <w:t>Kassel became the capital of the kingdom of Westphalia after 1806. The aim was to replace the legal and electoral order. The change was extremely disruptive. G</w:t>
      </w:r>
      <w:r>
        <w:rPr>
          <w:rFonts w:cstheme="minorHAnsi"/>
        </w:rPr>
        <w:t>ö</w:t>
      </w:r>
      <w:r>
        <w:t xml:space="preserve">ttingen set about teaching the new system of law. Jurists had to practice in French. It was experienced as a foreign occupation, though there were some who embraced it, </w:t>
      </w:r>
      <w:proofErr w:type="spellStart"/>
      <w:r>
        <w:t>eg</w:t>
      </w:r>
      <w:proofErr w:type="spellEnd"/>
      <w:r>
        <w:t xml:space="preserve"> Strombeck </w:t>
      </w:r>
      <w:hyperlink r:id="rId10" w:history="1">
        <w:r>
          <w:rPr>
            <w:rStyle w:val="Hyperlink"/>
          </w:rPr>
          <w:t>Friedrich Karl von Strombeck Leben und Werk (degruyter.com)</w:t>
        </w:r>
      </w:hyperlink>
      <w:r>
        <w:t xml:space="preserve">. He said that the Roman law roots of the Code Napoleon meant that it was compatible with the Germanic heritage. The French-led administration saw itself as superior, a channel for universal values. </w:t>
      </w:r>
      <w:r w:rsidR="007A2650">
        <w:t>Initially they ruled through martial law.</w:t>
      </w:r>
      <w:r>
        <w:t xml:space="preserve"> In practice though they had to come to terms with the existing system.</w:t>
      </w:r>
    </w:p>
    <w:p w14:paraId="5362DAE1" w14:textId="4B890C1C" w:rsidR="004459F3" w:rsidRDefault="004459F3">
      <w:r>
        <w:lastRenderedPageBreak/>
        <w:t xml:space="preserve">In 1815, Kur-Hessen was restored – they kept the Kur (electoral) part of the title. The period of French occupation was seen as such. But harmony did not </w:t>
      </w:r>
      <w:proofErr w:type="gramStart"/>
      <w:r>
        <w:t>reign:</w:t>
      </w:r>
      <w:proofErr w:type="gramEnd"/>
      <w:r>
        <w:t xml:space="preserve"> there continued to be disputes between the elector and the estates. No constitution was agreed, though they almost got there around 1815.  The fate of patrimonial jurisdiction and domestic finance were stumbling blocks. The elector delayed things. As so often, in the absence of consensus, nothing got done. The general tone was conservative, in harmony with Metternich’s governing style. States with constitutions more often fretted about how the Confederation worked.</w:t>
      </w:r>
    </w:p>
    <w:p w14:paraId="6A3D7896" w14:textId="6796B602" w:rsidR="004459F3" w:rsidRDefault="004459F3">
      <w:r>
        <w:t>In 1831, a new constitution was agreed, that was seen as one of the most liberal in Europe</w:t>
      </w:r>
      <w:r w:rsidR="00035DE0">
        <w:t>. Among other things it was unicameral</w:t>
      </w:r>
      <w:r>
        <w:t xml:space="preserve">. </w:t>
      </w:r>
      <w:r w:rsidR="008827C2">
        <w:t xml:space="preserve">[Subsequent note from Beth: </w:t>
      </w:r>
      <w:r w:rsidR="008827C2" w:rsidRPr="008827C2">
        <w:rPr>
          <w:rStyle w:val="cf01"/>
          <w:rFonts w:asciiTheme="minorHAnsi" w:hAnsiTheme="minorHAnsi" w:cstheme="minorHAnsi"/>
          <w:sz w:val="22"/>
          <w:szCs w:val="22"/>
        </w:rPr>
        <w:t xml:space="preserve">The existing literature overwhelmingly characterises is as a direct response to actions in France - and this certainly had a significant influence. In the face of the international dimension, it also seems as though it was deemed a political necessity by both the Elector and indeed the estates. One of the features noted as particularly unusual was its one chamber system. The other factor which I think might merit looking at further is the public reception of the negotiation which occurred between the Elector's proposal and the </w:t>
      </w:r>
      <w:proofErr w:type="gramStart"/>
      <w:r w:rsidR="008827C2" w:rsidRPr="008827C2">
        <w:rPr>
          <w:rStyle w:val="cf01"/>
          <w:rFonts w:asciiTheme="minorHAnsi" w:hAnsiTheme="minorHAnsi" w:cstheme="minorHAnsi"/>
          <w:sz w:val="22"/>
          <w:szCs w:val="22"/>
        </w:rPr>
        <w:t>quickly-following</w:t>
      </w:r>
      <w:proofErr w:type="gramEnd"/>
      <w:r w:rsidR="008827C2" w:rsidRPr="008827C2">
        <w:rPr>
          <w:rStyle w:val="cf01"/>
          <w:rFonts w:asciiTheme="minorHAnsi" w:hAnsiTheme="minorHAnsi" w:cstheme="minorHAnsi"/>
          <w:sz w:val="22"/>
          <w:szCs w:val="22"/>
        </w:rPr>
        <w:t xml:space="preserve"> counter proposal which was developed by the Landtag and led by Sylvester Jordan. There's </w:t>
      </w:r>
      <w:proofErr w:type="gramStart"/>
      <w:r w:rsidR="008827C2" w:rsidRPr="008827C2">
        <w:rPr>
          <w:rStyle w:val="cf01"/>
          <w:rFonts w:asciiTheme="minorHAnsi" w:hAnsiTheme="minorHAnsi" w:cstheme="minorHAnsi"/>
          <w:sz w:val="22"/>
          <w:szCs w:val="22"/>
        </w:rPr>
        <w:t>a really interesting</w:t>
      </w:r>
      <w:proofErr w:type="gramEnd"/>
      <w:r w:rsidR="008827C2" w:rsidRPr="008827C2">
        <w:rPr>
          <w:rStyle w:val="cf01"/>
          <w:rFonts w:asciiTheme="minorHAnsi" w:hAnsiTheme="minorHAnsi" w:cstheme="minorHAnsi"/>
          <w:sz w:val="22"/>
          <w:szCs w:val="22"/>
        </w:rPr>
        <w:t xml:space="preserve"> piece comparing the 1831 constitution in KH to the Cadiz constitution of 1812. (in German I'm afraid!) </w:t>
      </w:r>
      <w:hyperlink r:id="rId11" w:history="1">
        <w:r w:rsidR="008827C2" w:rsidRPr="008827C2">
          <w:rPr>
            <w:rStyle w:val="cf01"/>
            <w:rFonts w:asciiTheme="minorHAnsi" w:hAnsiTheme="minorHAnsi" w:cstheme="minorHAnsi"/>
            <w:color w:val="0000FF"/>
            <w:sz w:val="22"/>
            <w:szCs w:val="22"/>
            <w:u w:val="single"/>
          </w:rPr>
          <w:t>https://www-degruyter-com.ezproxy-prd.bodleian.ox.ac.uk/document/doi/10.1515/9783110630541/html</w:t>
        </w:r>
      </w:hyperlink>
      <w:r w:rsidR="008827C2" w:rsidRPr="008827C2">
        <w:rPr>
          <w:rFonts w:cstheme="minorHAnsi"/>
        </w:rPr>
        <w:t xml:space="preserve"> </w:t>
      </w:r>
      <w:r w:rsidR="008827C2">
        <w:t xml:space="preserve">] </w:t>
      </w:r>
      <w:r w:rsidR="0094597D">
        <w:t>But tensions nonetheless simmered on, coming to a head in 1850. Historians haven’t perhaps sufficiently registered the depth and breadth of the rebellion, which was one of the most dramatic in the Confederation’s history. The background was supplied by the rejection of a tax reform as unconstitutional</w:t>
      </w:r>
      <w:r w:rsidR="008827C2">
        <w:t xml:space="preserve"> </w:t>
      </w:r>
      <w:r w:rsidR="008827C2" w:rsidRPr="008827C2">
        <w:rPr>
          <w:rFonts w:cstheme="minorHAnsi"/>
        </w:rPr>
        <w:t xml:space="preserve">by </w:t>
      </w:r>
      <w:r w:rsidR="008827C2" w:rsidRPr="008827C2">
        <w:rPr>
          <w:rStyle w:val="cf01"/>
          <w:rFonts w:asciiTheme="minorHAnsi" w:hAnsiTheme="minorHAnsi" w:cstheme="minorHAnsi"/>
          <w:sz w:val="22"/>
          <w:szCs w:val="22"/>
        </w:rPr>
        <w:t>virtually everyone. There was mass disobedience in the civil service, the judiciary and the military all refusing to enforce new rules and was accompanied by broader social unrest. The scale of this crisis was pretty unprecedented,</w:t>
      </w:r>
      <w:r w:rsidR="0094597D" w:rsidRPr="008827C2">
        <w:rPr>
          <w:rFonts w:cstheme="minorHAnsi"/>
        </w:rPr>
        <w:t xml:space="preserve"> </w:t>
      </w:r>
      <w:r w:rsidR="0094597D">
        <w:t xml:space="preserve">The </w:t>
      </w:r>
      <w:r w:rsidR="008827C2">
        <w:t xml:space="preserve">Minister </w:t>
      </w:r>
      <w:proofErr w:type="gramStart"/>
      <w:r w:rsidR="008827C2">
        <w:t>President</w:t>
      </w:r>
      <w:r w:rsidR="008827C2" w:rsidRPr="008827C2">
        <w:rPr>
          <w:rFonts w:cstheme="minorHAnsi"/>
        </w:rPr>
        <w:t xml:space="preserve">, </w:t>
      </w:r>
      <w:r w:rsidR="0094597D" w:rsidRPr="008827C2">
        <w:rPr>
          <w:rFonts w:cstheme="minorHAnsi"/>
        </w:rPr>
        <w:t xml:space="preserve"> Ludwig</w:t>
      </w:r>
      <w:proofErr w:type="gramEnd"/>
      <w:r w:rsidR="0094597D" w:rsidRPr="008827C2">
        <w:rPr>
          <w:rFonts w:cstheme="minorHAnsi"/>
        </w:rPr>
        <w:t xml:space="preserve"> </w:t>
      </w:r>
      <w:r w:rsidR="008827C2" w:rsidRPr="008827C2">
        <w:rPr>
          <w:rStyle w:val="cf01"/>
          <w:rFonts w:asciiTheme="minorHAnsi" w:hAnsiTheme="minorHAnsi" w:cstheme="minorHAnsi"/>
          <w:sz w:val="22"/>
          <w:szCs w:val="22"/>
        </w:rPr>
        <w:t xml:space="preserve">von </w:t>
      </w:r>
      <w:proofErr w:type="spellStart"/>
      <w:r w:rsidR="008827C2" w:rsidRPr="008827C2">
        <w:rPr>
          <w:rStyle w:val="cf01"/>
          <w:rFonts w:asciiTheme="minorHAnsi" w:hAnsiTheme="minorHAnsi" w:cstheme="minorHAnsi"/>
          <w:sz w:val="22"/>
          <w:szCs w:val="22"/>
        </w:rPr>
        <w:t>Hassenpflug</w:t>
      </w:r>
      <w:proofErr w:type="spellEnd"/>
      <w:r w:rsidR="008827C2" w:rsidRPr="008827C2">
        <w:rPr>
          <w:rStyle w:val="cf01"/>
          <w:rFonts w:asciiTheme="minorHAnsi" w:hAnsiTheme="minorHAnsi" w:cstheme="minorHAnsi"/>
          <w:sz w:val="22"/>
          <w:szCs w:val="22"/>
        </w:rPr>
        <w:t>, the architect of the tax reform</w:t>
      </w:r>
      <w:r w:rsidR="008827C2">
        <w:rPr>
          <w:rStyle w:val="cf01"/>
        </w:rPr>
        <w:t xml:space="preserve">, </w:t>
      </w:r>
      <w:r w:rsidR="0094597D">
        <w:t>was very unpopular</w:t>
      </w:r>
      <w:r w:rsidR="00035DE0">
        <w:t>,</w:t>
      </w:r>
      <w:r w:rsidR="008827C2">
        <w:t xml:space="preserve"> and </w:t>
      </w:r>
      <w:r w:rsidR="0094597D">
        <w:t xml:space="preserve">when he called for military aid, the officers didn’t come to help him. The clash was resolved only by a Confederation military intervention, in 1850-1, leading to a new constitution, 1852, though its validity was disputed. Academic jurists argued that the constitution of 1831 retained legal force. The new constitution reintroduced two </w:t>
      </w:r>
      <w:proofErr w:type="gramStart"/>
      <w:r w:rsidR="0094597D">
        <w:t>chambers, and</w:t>
      </w:r>
      <w:proofErr w:type="gramEnd"/>
      <w:r w:rsidR="0094597D">
        <w:t xml:space="preserve"> made the monarch the chief military authority. In 1862, the 1831 constitution was reinstated, under pressure from Prussia</w:t>
      </w:r>
      <w:r w:rsidR="00035DE0">
        <w:t xml:space="preserve">, which had only just overcome its own constitutional crisis, and didn’t want unrest spreading from Kur-Hessen to the rest of Germany. </w:t>
      </w:r>
      <w:r w:rsidR="0094597D">
        <w:t>The extended period which passed before this was resolved illustrates the usual fudging and delay.</w:t>
      </w:r>
    </w:p>
    <w:p w14:paraId="1C156CF1" w14:textId="77777777" w:rsidR="0094597D" w:rsidRDefault="0094597D"/>
    <w:p w14:paraId="2D54CC18" w14:textId="39F6E10A" w:rsidR="0094597D" w:rsidRDefault="0094597D">
      <w:r>
        <w:t>Overall, it’s not easy to characterise German political culture. Traditionally, nationalism, liberalism and centralising trends are seen to have moved things in the direction of democracy, but it’s not clear that these are useful terms, or what they relate to.</w:t>
      </w:r>
    </w:p>
    <w:p w14:paraId="335A15D7" w14:textId="7C9A8FBB" w:rsidR="0094597D" w:rsidRDefault="0094597D">
      <w:r>
        <w:t>There did develop a widespread feeling that reform of the estate system and associated social order were needed, and a shift away from patrimonialism – though that had been happening for some time, in the interests of monarchy as much as anything else.</w:t>
      </w:r>
    </w:p>
    <w:p w14:paraId="2FE79B31" w14:textId="3F26E6CC" w:rsidR="0094597D" w:rsidRDefault="0094597D">
      <w:r>
        <w:t>There was quite a lot of popular engagement, but on specific issues that mattered to people:</w:t>
      </w:r>
    </w:p>
    <w:p w14:paraId="51156044" w14:textId="394C354C" w:rsidR="0094597D" w:rsidRDefault="0094597D" w:rsidP="0094597D">
      <w:pPr>
        <w:pStyle w:val="ListParagraph"/>
        <w:numPr>
          <w:ilvl w:val="0"/>
          <w:numId w:val="1"/>
        </w:numPr>
      </w:pPr>
      <w:r>
        <w:t>Constitutionalism</w:t>
      </w:r>
    </w:p>
    <w:p w14:paraId="754AF706" w14:textId="5DEDB70D" w:rsidR="0094597D" w:rsidRDefault="0094597D" w:rsidP="0094597D">
      <w:pPr>
        <w:pStyle w:val="ListParagraph"/>
        <w:numPr>
          <w:ilvl w:val="0"/>
          <w:numId w:val="1"/>
        </w:numPr>
      </w:pPr>
      <w:r>
        <w:t>Taxation</w:t>
      </w:r>
    </w:p>
    <w:p w14:paraId="5E8261BA" w14:textId="050F0728" w:rsidR="0094597D" w:rsidRDefault="0094597D" w:rsidP="0094597D">
      <w:pPr>
        <w:pStyle w:val="ListParagraph"/>
        <w:numPr>
          <w:ilvl w:val="0"/>
          <w:numId w:val="1"/>
        </w:numPr>
      </w:pPr>
      <w:r>
        <w:t>Ministerial responsibility</w:t>
      </w:r>
    </w:p>
    <w:p w14:paraId="50FE132E" w14:textId="594CA07E" w:rsidR="00F25830" w:rsidRDefault="00F25830" w:rsidP="0094597D">
      <w:pPr>
        <w:pStyle w:val="ListParagraph"/>
        <w:numPr>
          <w:ilvl w:val="0"/>
          <w:numId w:val="1"/>
        </w:numPr>
      </w:pPr>
      <w:r>
        <w:t>Censorship</w:t>
      </w:r>
    </w:p>
    <w:p w14:paraId="5AD32414" w14:textId="21E509BF" w:rsidR="00F25830" w:rsidRDefault="00F25830" w:rsidP="0094597D">
      <w:pPr>
        <w:pStyle w:val="ListParagraph"/>
        <w:numPr>
          <w:ilvl w:val="0"/>
          <w:numId w:val="1"/>
        </w:numPr>
      </w:pPr>
      <w:r>
        <w:lastRenderedPageBreak/>
        <w:t>Rights of association</w:t>
      </w:r>
    </w:p>
    <w:p w14:paraId="0B7BD56B" w14:textId="67BCCB1F" w:rsidR="00F25830" w:rsidRDefault="00F25830" w:rsidP="00F25830">
      <w:r>
        <w:t>In every case, what was at stake could be conceptualised in terms of the defence of rights or privileges: these were not opposed but overlapping ideologies.</w:t>
      </w:r>
    </w:p>
    <w:p w14:paraId="5406F59E" w14:textId="70CB1A56" w:rsidR="00F25830" w:rsidRDefault="00F25830" w:rsidP="00F25830">
      <w:r>
        <w:t>There was some interest in increasing popular representation.</w:t>
      </w:r>
    </w:p>
    <w:p w14:paraId="30E6DEEC" w14:textId="77777777" w:rsidR="00F25830" w:rsidRDefault="00F25830" w:rsidP="00F25830"/>
    <w:p w14:paraId="1D6B3D08" w14:textId="46F18612" w:rsidR="00F25830" w:rsidRDefault="00F25830" w:rsidP="00F25830">
      <w:r>
        <w:t xml:space="preserve">She circulated some satirical cartoons, which poked fun at the established order, but also expressed scepticism about France </w:t>
      </w:r>
      <w:proofErr w:type="gramStart"/>
      <w:r>
        <w:t>in particular and</w:t>
      </w:r>
      <w:proofErr w:type="gramEnd"/>
      <w:r>
        <w:t xml:space="preserve"> Europe in general, as models.</w:t>
      </w:r>
    </w:p>
    <w:p w14:paraId="3AA0DDDA" w14:textId="01224977" w:rsidR="00F25830" w:rsidRDefault="00F25830" w:rsidP="00F25830">
      <w:r>
        <w:t>The tendency was to think that the English example fitted best with German constitutional circumstances. But it was also often said that Germany needed to follow its own path, and not seek to imitate others.</w:t>
      </w:r>
    </w:p>
    <w:p w14:paraId="254E8C50" w14:textId="29CD482F" w:rsidR="00F25830" w:rsidRDefault="00F25830" w:rsidP="00F25830">
      <w:r>
        <w:t>There was some interest in developing more national citizenship and freedom of movement, but these were complex issues, bringing losses as well as gains.</w:t>
      </w:r>
    </w:p>
    <w:p w14:paraId="7CD98736" w14:textId="45B2723F" w:rsidR="00F25830" w:rsidRDefault="00F25830" w:rsidP="00F25830">
      <w:r>
        <w:t xml:space="preserve">Dietrich </w:t>
      </w:r>
      <w:proofErr w:type="spellStart"/>
      <w:r>
        <w:t>Langewiesche</w:t>
      </w:r>
      <w:proofErr w:type="spellEnd"/>
      <w:r>
        <w:t xml:space="preserve"> suggests that Germany was unwilling to break with its political past, even if social change was sought.</w:t>
      </w:r>
    </w:p>
    <w:p w14:paraId="49321655" w14:textId="4429ECC3" w:rsidR="00F25830" w:rsidRDefault="00F25830" w:rsidP="00F25830">
      <w:proofErr w:type="gramStart"/>
      <w:r>
        <w:t>Certainly</w:t>
      </w:r>
      <w:proofErr w:type="gramEnd"/>
      <w:r>
        <w:t xml:space="preserve"> only a minority were specifically democratic. She thought that French example served to deter many from entertaining republican ideas.</w:t>
      </w:r>
    </w:p>
    <w:p w14:paraId="42FFC95E" w14:textId="77777777" w:rsidR="00F25830" w:rsidRDefault="00F25830" w:rsidP="00F25830"/>
    <w:p w14:paraId="5CCC1E4A" w14:textId="665BB567" w:rsidR="00F25830" w:rsidRPr="008B4698" w:rsidRDefault="00F25830" w:rsidP="00F25830">
      <w:pPr>
        <w:rPr>
          <w:rFonts w:ascii="Times New Roman" w:eastAsia="Times New Roman" w:hAnsi="Times New Roman" w:cs="Times New Roman"/>
          <w:kern w:val="0"/>
          <w:sz w:val="24"/>
          <w:szCs w:val="24"/>
          <w:lang w:eastAsia="en-GB"/>
          <w14:ligatures w14:val="none"/>
        </w:rPr>
      </w:pPr>
      <w:proofErr w:type="gramStart"/>
      <w:r>
        <w:rPr>
          <w:b/>
          <w:bCs/>
          <w:i/>
          <w:iCs/>
        </w:rPr>
        <w:t>Discussion</w:t>
      </w:r>
      <w:r w:rsidR="006277C0" w:rsidRPr="006277C0">
        <w:t xml:space="preserve"> </w:t>
      </w:r>
      <w:r w:rsidR="008B4698">
        <w:t xml:space="preserve"> (</w:t>
      </w:r>
      <w:proofErr w:type="gramEnd"/>
      <w:r w:rsidR="008B4698">
        <w:t>I’ve only recorded those questions which I thought led somewhere new)</w:t>
      </w:r>
    </w:p>
    <w:p w14:paraId="351456A2" w14:textId="221D5CF5" w:rsidR="00670DEE" w:rsidRDefault="00670DEE" w:rsidP="00F25830">
      <w:r>
        <w:rPr>
          <w:b/>
          <w:bCs/>
        </w:rPr>
        <w:t xml:space="preserve">Mark </w:t>
      </w:r>
      <w:r>
        <w:t xml:space="preserve">wanted to know to what extent there was interchange between personnel in the Confederation and the states.  </w:t>
      </w:r>
      <w:r>
        <w:rPr>
          <w:b/>
          <w:bCs/>
        </w:rPr>
        <w:t xml:space="preserve">Beth </w:t>
      </w:r>
      <w:r>
        <w:t>noted in relation to representation that the federal Diet was made up of representatives of the states, as if in the capacity of ambassadors. Some states – notably Saxony, Baden and Bavaria would have liked to see it reformed to contain some elected element.</w:t>
      </w:r>
      <w:r w:rsidR="006277C0">
        <w:t xml:space="preserve"> They came to think that if they wanted to protect their own position, they needed a stronger federal core – </w:t>
      </w:r>
      <w:proofErr w:type="spellStart"/>
      <w:r w:rsidR="006277C0">
        <w:t>esp</w:t>
      </w:r>
      <w:proofErr w:type="spellEnd"/>
      <w:r w:rsidR="006277C0">
        <w:t xml:space="preserve"> after Italian wars of independence. But the idea of representing the people evoked 1848, so didn’t gain traction.</w:t>
      </w:r>
    </w:p>
    <w:p w14:paraId="07C1A9E4" w14:textId="77777777" w:rsidR="006277C0" w:rsidRDefault="006277C0" w:rsidP="006277C0">
      <w:r>
        <w:rPr>
          <w:b/>
          <w:bCs/>
        </w:rPr>
        <w:t xml:space="preserve">Mark </w:t>
      </w:r>
      <w:r>
        <w:t xml:space="preserve">asked about the permeability of admin from outside. </w:t>
      </w:r>
      <w:r>
        <w:rPr>
          <w:b/>
          <w:bCs/>
        </w:rPr>
        <w:t xml:space="preserve">Beth </w:t>
      </w:r>
      <w:r>
        <w:t>said that the civil service generally had more power than elected representatives. The nobility found it hard to penetrate this system.</w:t>
      </w:r>
    </w:p>
    <w:p w14:paraId="03C8F0C6" w14:textId="1A1F4D55" w:rsidR="006277C0" w:rsidRDefault="006277C0" w:rsidP="006277C0">
      <w:pPr>
        <w:rPr>
          <w:rFonts w:eastAsia="Times New Roman" w:cstheme="minorHAnsi"/>
          <w:kern w:val="0"/>
          <w:lang w:eastAsia="en-GB"/>
          <w14:ligatures w14:val="none"/>
        </w:rPr>
      </w:pPr>
      <w:r>
        <w:rPr>
          <w:b/>
          <w:bCs/>
        </w:rPr>
        <w:t xml:space="preserve">Ben </w:t>
      </w:r>
      <w:r>
        <w:t xml:space="preserve">asked if anyone made a positive case for federal arrangements, citing </w:t>
      </w:r>
      <w:proofErr w:type="spellStart"/>
      <w:proofErr w:type="gramStart"/>
      <w:r>
        <w:t>eg</w:t>
      </w:r>
      <w:proofErr w:type="spellEnd"/>
      <w:proofErr w:type="gramEnd"/>
      <w:r>
        <w:t xml:space="preserve"> North or South American examples. </w:t>
      </w:r>
      <w:r>
        <w:rPr>
          <w:b/>
          <w:bCs/>
        </w:rPr>
        <w:t xml:space="preserve">Beth </w:t>
      </w:r>
      <w:r>
        <w:t xml:space="preserve">said comparisons always tended to be with the HRE. </w:t>
      </w:r>
      <w:r>
        <w:rPr>
          <w:b/>
          <w:bCs/>
        </w:rPr>
        <w:t xml:space="preserve">Joanna </w:t>
      </w:r>
      <w:r>
        <w:t xml:space="preserve">suggested that she might want to check out the work of Juri </w:t>
      </w:r>
      <w:proofErr w:type="spellStart"/>
      <w:r>
        <w:t>Auderset</w:t>
      </w:r>
      <w:proofErr w:type="spellEnd"/>
      <w:r>
        <w:t xml:space="preserve">, on interest in American federalism in Switzerland. </w:t>
      </w:r>
      <w:r w:rsidRPr="006277C0">
        <w:rPr>
          <w:rFonts w:eastAsia="Times New Roman" w:cstheme="minorHAnsi"/>
          <w:kern w:val="0"/>
          <w:lang w:eastAsia="en-GB"/>
          <w14:ligatures w14:val="none"/>
        </w:rPr>
        <w:t xml:space="preserve">“Seizing the Madisonian Moment. Interpretations of American Federalism in Switzerland, 1776-1848.” In </w:t>
      </w:r>
      <w:r w:rsidRPr="006277C0">
        <w:rPr>
          <w:rFonts w:eastAsia="Times New Roman" w:cstheme="minorHAnsi"/>
          <w:i/>
          <w:iCs/>
          <w:kern w:val="0"/>
          <w:lang w:eastAsia="en-GB"/>
          <w14:ligatures w14:val="none"/>
        </w:rPr>
        <w:t>Theories of Modern Federalism</w:t>
      </w:r>
      <w:r w:rsidRPr="006277C0">
        <w:rPr>
          <w:rFonts w:eastAsia="Times New Roman" w:cstheme="minorHAnsi"/>
          <w:kern w:val="0"/>
          <w:lang w:eastAsia="en-GB"/>
          <w14:ligatures w14:val="none"/>
        </w:rPr>
        <w:t xml:space="preserve">, edited by Skadi Siiri Krause. -Baden Nomos </w:t>
      </w:r>
      <w:proofErr w:type="spellStart"/>
      <w:r w:rsidRPr="006277C0">
        <w:rPr>
          <w:rFonts w:eastAsia="Times New Roman" w:cstheme="minorHAnsi"/>
          <w:kern w:val="0"/>
          <w:lang w:eastAsia="en-GB"/>
          <w14:ligatures w14:val="none"/>
        </w:rPr>
        <w:t>Verlagsgesellschaft</w:t>
      </w:r>
      <w:proofErr w:type="spellEnd"/>
      <w:r w:rsidRPr="006277C0">
        <w:rPr>
          <w:rFonts w:eastAsia="Times New Roman" w:cstheme="minorHAnsi"/>
          <w:kern w:val="0"/>
          <w:lang w:eastAsia="en-GB"/>
          <w14:ligatures w14:val="none"/>
        </w:rPr>
        <w:t xml:space="preserve"> </w:t>
      </w:r>
      <w:proofErr w:type="spellStart"/>
      <w:r w:rsidRPr="006277C0">
        <w:rPr>
          <w:rFonts w:eastAsia="Times New Roman" w:cstheme="minorHAnsi"/>
          <w:kern w:val="0"/>
          <w:lang w:eastAsia="en-GB"/>
          <w14:ligatures w14:val="none"/>
        </w:rPr>
        <w:t>mbH</w:t>
      </w:r>
      <w:proofErr w:type="spellEnd"/>
      <w:r w:rsidRPr="006277C0">
        <w:rPr>
          <w:rFonts w:eastAsia="Times New Roman" w:cstheme="minorHAnsi"/>
          <w:kern w:val="0"/>
          <w:lang w:eastAsia="en-GB"/>
          <w14:ligatures w14:val="none"/>
        </w:rPr>
        <w:t xml:space="preserve"> &amp; Co. KG, 201</w:t>
      </w:r>
      <w:r w:rsidR="008B4698">
        <w:rPr>
          <w:rFonts w:eastAsia="Times New Roman" w:cstheme="minorHAnsi"/>
          <w:kern w:val="0"/>
          <w:lang w:eastAsia="en-GB"/>
          <w14:ligatures w14:val="none"/>
        </w:rPr>
        <w:t>9 (also the subject of his doctoral thesis).</w:t>
      </w:r>
    </w:p>
    <w:p w14:paraId="6AF0DACF" w14:textId="1B5C951A" w:rsidR="003F4AA7" w:rsidRDefault="003F4AA7" w:rsidP="006277C0">
      <w:pPr>
        <w:rPr>
          <w:rFonts w:eastAsia="Times New Roman" w:cstheme="minorHAnsi"/>
          <w:kern w:val="0"/>
          <w:lang w:eastAsia="en-GB"/>
          <w14:ligatures w14:val="none"/>
        </w:rPr>
      </w:pPr>
      <w:r>
        <w:rPr>
          <w:rFonts w:eastAsia="Times New Roman" w:cstheme="minorHAnsi"/>
          <w:b/>
          <w:bCs/>
          <w:kern w:val="0"/>
          <w:lang w:eastAsia="en-GB"/>
          <w14:ligatures w14:val="none"/>
        </w:rPr>
        <w:t xml:space="preserve">Joanna </w:t>
      </w:r>
      <w:r>
        <w:rPr>
          <w:rFonts w:eastAsia="Times New Roman" w:cstheme="minorHAnsi"/>
          <w:kern w:val="0"/>
          <w:lang w:eastAsia="en-GB"/>
          <w14:ligatures w14:val="none"/>
        </w:rPr>
        <w:t xml:space="preserve">asked about how far </w:t>
      </w:r>
      <w:proofErr w:type="gramStart"/>
      <w:r>
        <w:rPr>
          <w:rFonts w:eastAsia="Times New Roman" w:cstheme="minorHAnsi"/>
          <w:kern w:val="0"/>
          <w:lang w:eastAsia="en-GB"/>
          <w14:ligatures w14:val="none"/>
        </w:rPr>
        <w:t>would could</w:t>
      </w:r>
      <w:proofErr w:type="gramEnd"/>
      <w:r>
        <w:rPr>
          <w:rFonts w:eastAsia="Times New Roman" w:cstheme="minorHAnsi"/>
          <w:kern w:val="0"/>
          <w:lang w:eastAsia="en-GB"/>
          <w14:ligatures w14:val="none"/>
        </w:rPr>
        <w:t xml:space="preserve"> really make a case for German peculiarity on the basis of </w:t>
      </w:r>
      <w:proofErr w:type="spellStart"/>
      <w:r>
        <w:rPr>
          <w:rFonts w:eastAsia="Times New Roman" w:cstheme="minorHAnsi"/>
          <w:kern w:val="0"/>
          <w:lang w:eastAsia="en-GB"/>
          <w14:ligatures w14:val="none"/>
        </w:rPr>
        <w:t>compmarisons</w:t>
      </w:r>
      <w:proofErr w:type="spellEnd"/>
      <w:r>
        <w:rPr>
          <w:rFonts w:eastAsia="Times New Roman" w:cstheme="minorHAnsi"/>
          <w:kern w:val="0"/>
          <w:lang w:eastAsia="en-GB"/>
          <w14:ligatures w14:val="none"/>
        </w:rPr>
        <w:t xml:space="preserve"> with France – even allowing that that was the comparison Germans </w:t>
      </w:r>
      <w:proofErr w:type="spellStart"/>
      <w:r>
        <w:rPr>
          <w:rFonts w:eastAsia="Times New Roman" w:cstheme="minorHAnsi"/>
          <w:kern w:val="0"/>
          <w:lang w:eastAsia="en-GB"/>
          <w14:ligatures w14:val="none"/>
        </w:rPr>
        <w:t>ofteh</w:t>
      </w:r>
      <w:proofErr w:type="spellEnd"/>
      <w:r>
        <w:rPr>
          <w:rFonts w:eastAsia="Times New Roman" w:cstheme="minorHAnsi"/>
          <w:kern w:val="0"/>
          <w:lang w:eastAsia="en-GB"/>
          <w14:ligatures w14:val="none"/>
        </w:rPr>
        <w:t xml:space="preserve"> made at the time. Weren’t many other states not like France either? In what ways was Germany different from them? What aspects of what she had described were characteristic of much of Europe, and what was </w:t>
      </w:r>
      <w:proofErr w:type="gramStart"/>
      <w:r>
        <w:rPr>
          <w:rFonts w:eastAsia="Times New Roman" w:cstheme="minorHAnsi"/>
          <w:kern w:val="0"/>
          <w:lang w:eastAsia="en-GB"/>
          <w14:ligatures w14:val="none"/>
        </w:rPr>
        <w:t>really distinctively</w:t>
      </w:r>
      <w:proofErr w:type="gramEnd"/>
      <w:r>
        <w:rPr>
          <w:rFonts w:eastAsia="Times New Roman" w:cstheme="minorHAnsi"/>
          <w:kern w:val="0"/>
          <w:lang w:eastAsia="en-GB"/>
          <w14:ligatures w14:val="none"/>
        </w:rPr>
        <w:t xml:space="preserve"> German. </w:t>
      </w:r>
      <w:r>
        <w:rPr>
          <w:rFonts w:eastAsia="Times New Roman" w:cstheme="minorHAnsi"/>
          <w:b/>
          <w:bCs/>
          <w:kern w:val="0"/>
          <w:lang w:eastAsia="en-GB"/>
          <w14:ligatures w14:val="none"/>
        </w:rPr>
        <w:t xml:space="preserve">Beth </w:t>
      </w:r>
      <w:r>
        <w:rPr>
          <w:rFonts w:eastAsia="Times New Roman" w:cstheme="minorHAnsi"/>
          <w:kern w:val="0"/>
          <w:lang w:eastAsia="en-GB"/>
          <w14:ligatures w14:val="none"/>
        </w:rPr>
        <w:t xml:space="preserve">said she took the </w:t>
      </w:r>
      <w:proofErr w:type="gramStart"/>
      <w:r>
        <w:rPr>
          <w:rFonts w:eastAsia="Times New Roman" w:cstheme="minorHAnsi"/>
          <w:kern w:val="0"/>
          <w:lang w:eastAsia="en-GB"/>
          <w14:ligatures w14:val="none"/>
        </w:rPr>
        <w:t>point, but</w:t>
      </w:r>
      <w:proofErr w:type="gramEnd"/>
      <w:r>
        <w:rPr>
          <w:rFonts w:eastAsia="Times New Roman" w:cstheme="minorHAnsi"/>
          <w:kern w:val="0"/>
          <w:lang w:eastAsia="en-GB"/>
          <w14:ligatures w14:val="none"/>
        </w:rPr>
        <w:t xml:space="preserve"> wasn’t at the moment in a position to form a clear view on that.</w:t>
      </w:r>
    </w:p>
    <w:p w14:paraId="6BF450CE" w14:textId="3852F8C7" w:rsidR="003F4AA7" w:rsidRDefault="003F4AA7" w:rsidP="006277C0">
      <w:pPr>
        <w:rPr>
          <w:rFonts w:eastAsia="Times New Roman" w:cstheme="minorHAnsi"/>
          <w:kern w:val="0"/>
          <w:lang w:eastAsia="en-GB"/>
          <w14:ligatures w14:val="none"/>
        </w:rPr>
      </w:pPr>
      <w:r>
        <w:rPr>
          <w:rFonts w:eastAsia="Times New Roman" w:cstheme="minorHAnsi"/>
          <w:b/>
          <w:bCs/>
          <w:kern w:val="0"/>
          <w:lang w:eastAsia="en-GB"/>
          <w14:ligatures w14:val="none"/>
        </w:rPr>
        <w:lastRenderedPageBreak/>
        <w:t xml:space="preserve">Joanna </w:t>
      </w:r>
      <w:r>
        <w:rPr>
          <w:rFonts w:eastAsia="Times New Roman" w:cstheme="minorHAnsi"/>
          <w:kern w:val="0"/>
          <w:lang w:eastAsia="en-GB"/>
          <w14:ligatures w14:val="none"/>
        </w:rPr>
        <w:t xml:space="preserve">also asked if gendarmerie type forces were created, as in much of Europe at this time: semi-military police forces, perhaps linked into central government. Beth said yes, at the level of both states and cities. The Bund was not meant to maintain such bodies itself, though did claim for itself in principle certain policing powers. These were more often threatened than developed or employed in practice. It did undertake investigations, though didn’t itself prosecute </w:t>
      </w:r>
      <w:proofErr w:type="gramStart"/>
      <w:r>
        <w:rPr>
          <w:rFonts w:eastAsia="Times New Roman" w:cstheme="minorHAnsi"/>
          <w:kern w:val="0"/>
          <w:lang w:eastAsia="en-GB"/>
          <w14:ligatures w14:val="none"/>
        </w:rPr>
        <w:t>on the basis of</w:t>
      </w:r>
      <w:proofErr w:type="gramEnd"/>
      <w:r>
        <w:rPr>
          <w:rFonts w:eastAsia="Times New Roman" w:cstheme="minorHAnsi"/>
          <w:kern w:val="0"/>
          <w:lang w:eastAsia="en-GB"/>
          <w14:ligatures w14:val="none"/>
        </w:rPr>
        <w:t xml:space="preserve"> what they turned up.</w:t>
      </w:r>
    </w:p>
    <w:p w14:paraId="53CC4F39" w14:textId="3D5B4E30" w:rsidR="004C68B6" w:rsidRDefault="003F4AA7" w:rsidP="004C68B6">
      <w:pPr>
        <w:rPr>
          <w:rFonts w:ascii="PT Sans" w:eastAsia="Times New Roman" w:hAnsi="PT Sans" w:cs="Times New Roman"/>
          <w:color w:val="3A3A3A"/>
          <w:kern w:val="0"/>
          <w:sz w:val="24"/>
          <w:szCs w:val="24"/>
          <w:lang w:eastAsia="en-GB"/>
          <w14:ligatures w14:val="none"/>
        </w:rPr>
      </w:pPr>
      <w:r>
        <w:rPr>
          <w:rFonts w:eastAsia="Times New Roman" w:cstheme="minorHAnsi"/>
          <w:b/>
          <w:bCs/>
          <w:kern w:val="0"/>
          <w:lang w:eastAsia="en-GB"/>
          <w14:ligatures w14:val="none"/>
        </w:rPr>
        <w:t xml:space="preserve">Mark </w:t>
      </w:r>
      <w:r>
        <w:rPr>
          <w:rFonts w:eastAsia="Times New Roman" w:cstheme="minorHAnsi"/>
          <w:kern w:val="0"/>
          <w:lang w:eastAsia="en-GB"/>
          <w14:ligatures w14:val="none"/>
        </w:rPr>
        <w:t xml:space="preserve">wanted to know why things got stirred up in the 1830s. </w:t>
      </w:r>
      <w:r>
        <w:rPr>
          <w:rFonts w:eastAsia="Times New Roman" w:cstheme="minorHAnsi"/>
          <w:b/>
          <w:bCs/>
          <w:kern w:val="0"/>
          <w:lang w:eastAsia="en-GB"/>
          <w14:ligatures w14:val="none"/>
        </w:rPr>
        <w:t xml:space="preserve">Beth </w:t>
      </w:r>
      <w:r>
        <w:rPr>
          <w:rFonts w:eastAsia="Times New Roman" w:cstheme="minorHAnsi"/>
          <w:kern w:val="0"/>
          <w:lang w:eastAsia="en-GB"/>
          <w14:ligatures w14:val="none"/>
        </w:rPr>
        <w:t xml:space="preserve">thought the protests of this period were overwhelmingly social: ‘they just rioted’. </w:t>
      </w:r>
      <w:r>
        <w:rPr>
          <w:rFonts w:eastAsia="Times New Roman" w:cstheme="minorHAnsi"/>
          <w:b/>
          <w:bCs/>
          <w:kern w:val="0"/>
          <w:lang w:eastAsia="en-GB"/>
          <w14:ligatures w14:val="none"/>
        </w:rPr>
        <w:t xml:space="preserve">Joanna </w:t>
      </w:r>
      <w:r>
        <w:rPr>
          <w:rFonts w:eastAsia="Times New Roman" w:cstheme="minorHAnsi"/>
          <w:kern w:val="0"/>
          <w:lang w:eastAsia="en-GB"/>
          <w14:ligatures w14:val="none"/>
        </w:rPr>
        <w:t>said she didn’t think EP Thompson would have accepted that as an answer (he said all riots need some legitimating notion, which informs what people think they can ask for and how; they don’t just represent a cry of the belly).</w:t>
      </w:r>
      <w:r w:rsidR="00FE6949">
        <w:rPr>
          <w:rFonts w:eastAsia="Times New Roman" w:cstheme="minorHAnsi"/>
          <w:kern w:val="0"/>
          <w:lang w:eastAsia="en-GB"/>
          <w14:ligatures w14:val="none"/>
        </w:rPr>
        <w:t xml:space="preserve"> </w:t>
      </w:r>
      <w:r w:rsidR="00FE6949">
        <w:rPr>
          <w:rFonts w:eastAsia="Times New Roman" w:cstheme="minorHAnsi"/>
          <w:b/>
          <w:bCs/>
          <w:kern w:val="0"/>
          <w:lang w:eastAsia="en-GB"/>
          <w14:ligatures w14:val="none"/>
        </w:rPr>
        <w:t xml:space="preserve">Beth </w:t>
      </w:r>
      <w:r w:rsidR="00FE6949">
        <w:rPr>
          <w:rFonts w:eastAsia="Times New Roman" w:cstheme="minorHAnsi"/>
          <w:kern w:val="0"/>
          <w:lang w:eastAsia="en-GB"/>
          <w14:ligatures w14:val="none"/>
        </w:rPr>
        <w:t xml:space="preserve">said that in some cases what was at issue was that artisans targeted wage-labouring journeymen, who they saw as undercutting their position. But </w:t>
      </w:r>
      <w:proofErr w:type="gramStart"/>
      <w:r w:rsidR="00FE6949">
        <w:rPr>
          <w:rFonts w:eastAsia="Times New Roman" w:cstheme="minorHAnsi"/>
          <w:kern w:val="0"/>
          <w:lang w:eastAsia="en-GB"/>
          <w14:ligatures w14:val="none"/>
        </w:rPr>
        <w:t>overall</w:t>
      </w:r>
      <w:proofErr w:type="gramEnd"/>
      <w:r w:rsidR="00FE6949">
        <w:rPr>
          <w:rFonts w:eastAsia="Times New Roman" w:cstheme="minorHAnsi"/>
          <w:kern w:val="0"/>
          <w:lang w:eastAsia="en-GB"/>
          <w14:ligatures w14:val="none"/>
        </w:rPr>
        <w:t xml:space="preserve"> she’d stress that they seem to have been very varied. There were no big cross-cutting concerns.</w:t>
      </w:r>
      <w:r w:rsidR="004C68B6">
        <w:rPr>
          <w:rFonts w:eastAsia="Times New Roman" w:cstheme="minorHAnsi"/>
          <w:kern w:val="0"/>
          <w:lang w:eastAsia="en-GB"/>
          <w14:ligatures w14:val="none"/>
        </w:rPr>
        <w:t xml:space="preserve"> </w:t>
      </w:r>
      <w:r w:rsidR="004C68B6" w:rsidRPr="004C68B6">
        <w:rPr>
          <w:rFonts w:eastAsia="Times New Roman" w:cstheme="minorHAnsi"/>
          <w:b/>
          <w:bCs/>
          <w:kern w:val="0"/>
          <w:lang w:eastAsia="en-GB"/>
          <w14:ligatures w14:val="none"/>
        </w:rPr>
        <w:t>Joanna</w:t>
      </w:r>
      <w:r w:rsidR="004C68B6">
        <w:rPr>
          <w:rFonts w:eastAsia="Times New Roman" w:cstheme="minorHAnsi"/>
          <w:kern w:val="0"/>
          <w:lang w:eastAsia="en-GB"/>
          <w14:ligatures w14:val="none"/>
        </w:rPr>
        <w:t xml:space="preserve"> suggested that the common factor might be a sense that there was something to be gained by protesting, rather than in terms of what was being protested about. She mentioned the work of </w:t>
      </w:r>
      <w:r w:rsidR="004C68B6" w:rsidRPr="004C68B6">
        <w:rPr>
          <w:rFonts w:eastAsia="Times New Roman" w:cstheme="minorHAnsi"/>
          <w:kern w:val="0"/>
          <w:lang w:eastAsia="en-GB"/>
          <w14:ligatures w14:val="none"/>
        </w:rPr>
        <w:t xml:space="preserve">J.D. </w:t>
      </w:r>
      <w:r w:rsidR="004C68B6" w:rsidRPr="004C68B6">
        <w:rPr>
          <w:rFonts w:eastAsia="Times New Roman" w:cstheme="minorHAnsi"/>
          <w:color w:val="3A3A3A"/>
          <w:kern w:val="0"/>
          <w:lang w:eastAsia="en-GB"/>
          <w14:ligatures w14:val="none"/>
        </w:rPr>
        <w:t xml:space="preserve">Post,), </w:t>
      </w:r>
      <w:hyperlink r:id="rId12" w:history="1">
        <w:r w:rsidR="004C68B6" w:rsidRPr="004C68B6">
          <w:rPr>
            <w:rFonts w:eastAsia="Times New Roman" w:cstheme="minorHAnsi"/>
            <w:i/>
            <w:iCs/>
            <w:color w:val="333333"/>
            <w:kern w:val="0"/>
            <w:lang w:eastAsia="en-GB"/>
            <w14:ligatures w14:val="none"/>
          </w:rPr>
          <w:t>The last great subsistence crisis in the western world</w:t>
        </w:r>
      </w:hyperlink>
      <w:r w:rsidR="004C68B6" w:rsidRPr="004C68B6">
        <w:rPr>
          <w:rFonts w:eastAsia="Times New Roman" w:cstheme="minorHAnsi"/>
          <w:kern w:val="0"/>
          <w:lang w:eastAsia="en-GB"/>
          <w14:ligatures w14:val="none"/>
        </w:rPr>
        <w:t xml:space="preserve"> (</w:t>
      </w:r>
      <w:r w:rsidR="004C68B6" w:rsidRPr="004C68B6">
        <w:rPr>
          <w:rFonts w:eastAsia="Times New Roman" w:cstheme="minorHAnsi"/>
          <w:color w:val="3A3A3A"/>
          <w:kern w:val="0"/>
          <w:lang w:eastAsia="en-GB"/>
          <w14:ligatures w14:val="none"/>
        </w:rPr>
        <w:t>Baltimore, Md. c1977) as possibly of interest [that book is about circa 1816-18; she misremembered his other book as being about 1840s; in fact it’s about the 1740s</w:t>
      </w:r>
      <w:r w:rsidR="004C68B6">
        <w:rPr>
          <w:rFonts w:eastAsia="Times New Roman" w:cstheme="minorHAnsi"/>
          <w:color w:val="3A3A3A"/>
          <w:kern w:val="0"/>
          <w:lang w:eastAsia="en-GB"/>
          <w14:ligatures w14:val="none"/>
        </w:rPr>
        <w:t>].</w:t>
      </w:r>
      <w:r w:rsidR="004C68B6" w:rsidRPr="004C68B6">
        <w:rPr>
          <w:rFonts w:ascii="PT Sans" w:eastAsia="Times New Roman" w:hAnsi="PT Sans" w:cs="Times New Roman"/>
          <w:color w:val="3A3A3A"/>
          <w:kern w:val="0"/>
          <w:sz w:val="24"/>
          <w:szCs w:val="24"/>
          <w:lang w:eastAsia="en-GB"/>
          <w14:ligatures w14:val="none"/>
        </w:rPr>
        <w:t> </w:t>
      </w:r>
    </w:p>
    <w:p w14:paraId="6C95476E" w14:textId="6AF7CCB1" w:rsidR="00FA12E1" w:rsidRDefault="00FA12E1" w:rsidP="004C68B6">
      <w:pPr>
        <w:rPr>
          <w:rFonts w:eastAsia="Times New Roman" w:cstheme="minorHAnsi"/>
          <w:color w:val="3A3A3A"/>
          <w:kern w:val="0"/>
          <w:lang w:eastAsia="en-GB"/>
          <w14:ligatures w14:val="none"/>
        </w:rPr>
      </w:pPr>
      <w:r w:rsidRPr="00FA12E1">
        <w:rPr>
          <w:rFonts w:eastAsia="Times New Roman" w:cstheme="minorHAnsi"/>
          <w:b/>
          <w:bCs/>
          <w:color w:val="3A3A3A"/>
          <w:kern w:val="0"/>
          <w:lang w:eastAsia="en-GB"/>
          <w14:ligatures w14:val="none"/>
        </w:rPr>
        <w:t xml:space="preserve">Joanna </w:t>
      </w:r>
      <w:r w:rsidRPr="00FA12E1">
        <w:rPr>
          <w:rFonts w:eastAsia="Times New Roman" w:cstheme="minorHAnsi"/>
          <w:color w:val="3A3A3A"/>
          <w:kern w:val="0"/>
          <w:lang w:eastAsia="en-GB"/>
          <w14:ligatures w14:val="none"/>
        </w:rPr>
        <w:t xml:space="preserve">said </w:t>
      </w:r>
      <w:r w:rsidR="00035DE0">
        <w:rPr>
          <w:rFonts w:eastAsia="Times New Roman" w:cstheme="minorHAnsi"/>
          <w:color w:val="3A3A3A"/>
          <w:kern w:val="0"/>
          <w:lang w:eastAsia="en-GB"/>
          <w14:ligatures w14:val="none"/>
        </w:rPr>
        <w:t>that</w:t>
      </w:r>
      <w:r>
        <w:rPr>
          <w:rFonts w:eastAsia="Times New Roman" w:cstheme="minorHAnsi"/>
          <w:color w:val="3A3A3A"/>
          <w:kern w:val="0"/>
          <w:lang w:eastAsia="en-GB"/>
          <w14:ligatures w14:val="none"/>
        </w:rPr>
        <w:t xml:space="preserve"> </w:t>
      </w:r>
      <w:r w:rsidR="00035DE0">
        <w:rPr>
          <w:rFonts w:eastAsia="Times New Roman" w:cstheme="minorHAnsi"/>
          <w:color w:val="3A3A3A"/>
          <w:kern w:val="0"/>
          <w:lang w:eastAsia="en-GB"/>
          <w14:ligatures w14:val="none"/>
        </w:rPr>
        <w:t>she thought the origins of the Zollverein lay early in the post-Napoleonic period</w:t>
      </w:r>
      <w:r>
        <w:rPr>
          <w:rFonts w:eastAsia="Times New Roman" w:cstheme="minorHAnsi"/>
          <w:color w:val="3A3A3A"/>
          <w:kern w:val="0"/>
          <w:lang w:eastAsia="en-GB"/>
          <w14:ligatures w14:val="none"/>
        </w:rPr>
        <w:t xml:space="preserve">, though she thought the </w:t>
      </w:r>
      <w:proofErr w:type="spellStart"/>
      <w:r>
        <w:rPr>
          <w:rFonts w:eastAsia="Times New Roman" w:cstheme="minorHAnsi"/>
          <w:color w:val="3A3A3A"/>
          <w:kern w:val="0"/>
          <w:lang w:eastAsia="en-GB"/>
          <w14:ligatures w14:val="none"/>
        </w:rPr>
        <w:t>Zollparlament</w:t>
      </w:r>
      <w:proofErr w:type="spellEnd"/>
      <w:r>
        <w:rPr>
          <w:rFonts w:eastAsia="Times New Roman" w:cstheme="minorHAnsi"/>
          <w:color w:val="3A3A3A"/>
          <w:kern w:val="0"/>
          <w:lang w:eastAsia="en-GB"/>
          <w14:ligatures w14:val="none"/>
        </w:rPr>
        <w:t xml:space="preserve"> came</w:t>
      </w:r>
      <w:r w:rsidR="00005445">
        <w:rPr>
          <w:rFonts w:eastAsia="Times New Roman" w:cstheme="minorHAnsi"/>
          <w:color w:val="3A3A3A"/>
          <w:kern w:val="0"/>
          <w:lang w:eastAsia="en-GB"/>
          <w14:ligatures w14:val="none"/>
        </w:rPr>
        <w:t xml:space="preserve"> later (</w:t>
      </w:r>
      <w:r w:rsidR="00005445">
        <w:rPr>
          <w:rFonts w:eastAsia="Times New Roman" w:cstheme="minorHAnsi"/>
          <w:b/>
          <w:bCs/>
          <w:color w:val="3A3A3A"/>
          <w:kern w:val="0"/>
          <w:lang w:eastAsia="en-GB"/>
          <w14:ligatures w14:val="none"/>
        </w:rPr>
        <w:t xml:space="preserve">Beth </w:t>
      </w:r>
      <w:r w:rsidR="00035DE0">
        <w:rPr>
          <w:rFonts w:eastAsia="Times New Roman" w:cstheme="minorHAnsi"/>
          <w:color w:val="3A3A3A"/>
          <w:kern w:val="0"/>
          <w:lang w:eastAsia="en-GB"/>
          <w14:ligatures w14:val="none"/>
        </w:rPr>
        <w:t>clarifies</w:t>
      </w:r>
      <w:r w:rsidR="00005445">
        <w:rPr>
          <w:rFonts w:eastAsia="Times New Roman" w:cstheme="minorHAnsi"/>
          <w:color w:val="3A3A3A"/>
          <w:kern w:val="0"/>
          <w:lang w:eastAsia="en-GB"/>
          <w14:ligatures w14:val="none"/>
        </w:rPr>
        <w:t xml:space="preserve"> 185</w:t>
      </w:r>
      <w:r w:rsidR="00035DE0">
        <w:rPr>
          <w:rFonts w:eastAsia="Times New Roman" w:cstheme="minorHAnsi"/>
          <w:color w:val="3A3A3A"/>
          <w:kern w:val="0"/>
          <w:lang w:eastAsia="en-GB"/>
          <w14:ligatures w14:val="none"/>
        </w:rPr>
        <w:t>8</w:t>
      </w:r>
      <w:r w:rsidR="00005445">
        <w:rPr>
          <w:rFonts w:eastAsia="Times New Roman" w:cstheme="minorHAnsi"/>
          <w:color w:val="3A3A3A"/>
          <w:kern w:val="0"/>
          <w:lang w:eastAsia="en-GB"/>
          <w14:ligatures w14:val="none"/>
        </w:rPr>
        <w:t xml:space="preserve">). She presumed that before then it didn’t have an institutional </w:t>
      </w:r>
      <w:proofErr w:type="gramStart"/>
      <w:r w:rsidR="00005445">
        <w:rPr>
          <w:rFonts w:eastAsia="Times New Roman" w:cstheme="minorHAnsi"/>
          <w:color w:val="3A3A3A"/>
          <w:kern w:val="0"/>
          <w:lang w:eastAsia="en-GB"/>
          <w14:ligatures w14:val="none"/>
        </w:rPr>
        <w:t>base, but</w:t>
      </w:r>
      <w:proofErr w:type="gramEnd"/>
      <w:r w:rsidR="00005445">
        <w:rPr>
          <w:rFonts w:eastAsia="Times New Roman" w:cstheme="minorHAnsi"/>
          <w:color w:val="3A3A3A"/>
          <w:kern w:val="0"/>
          <w:lang w:eastAsia="en-GB"/>
          <w14:ligatures w14:val="none"/>
        </w:rPr>
        <w:t xml:space="preserve"> was essentially a treaty-network. </w:t>
      </w:r>
      <w:r w:rsidR="00005445">
        <w:rPr>
          <w:rFonts w:eastAsia="Times New Roman" w:cstheme="minorHAnsi"/>
          <w:b/>
          <w:bCs/>
          <w:color w:val="3A3A3A"/>
          <w:kern w:val="0"/>
          <w:lang w:eastAsia="en-GB"/>
          <w14:ligatures w14:val="none"/>
        </w:rPr>
        <w:t xml:space="preserve">Beth </w:t>
      </w:r>
      <w:r w:rsidR="00005445">
        <w:rPr>
          <w:rFonts w:eastAsia="Times New Roman" w:cstheme="minorHAnsi"/>
          <w:color w:val="3A3A3A"/>
          <w:kern w:val="0"/>
          <w:lang w:eastAsia="en-GB"/>
          <w14:ligatures w14:val="none"/>
        </w:rPr>
        <w:t xml:space="preserve">said yes. And </w:t>
      </w:r>
      <w:proofErr w:type="gramStart"/>
      <w:r w:rsidR="00005445">
        <w:rPr>
          <w:rFonts w:eastAsia="Times New Roman" w:cstheme="minorHAnsi"/>
          <w:color w:val="3A3A3A"/>
          <w:kern w:val="0"/>
          <w:lang w:eastAsia="en-GB"/>
          <w14:ligatures w14:val="none"/>
        </w:rPr>
        <w:t>similarly</w:t>
      </w:r>
      <w:proofErr w:type="gramEnd"/>
      <w:r w:rsidR="00005445">
        <w:rPr>
          <w:rFonts w:eastAsia="Times New Roman" w:cstheme="minorHAnsi"/>
          <w:color w:val="3A3A3A"/>
          <w:kern w:val="0"/>
          <w:lang w:eastAsia="en-GB"/>
          <w14:ligatures w14:val="none"/>
        </w:rPr>
        <w:t xml:space="preserve"> there were other interstate treaties, </w:t>
      </w:r>
      <w:proofErr w:type="spellStart"/>
      <w:r w:rsidR="00005445">
        <w:rPr>
          <w:rFonts w:eastAsia="Times New Roman" w:cstheme="minorHAnsi"/>
          <w:color w:val="3A3A3A"/>
          <w:kern w:val="0"/>
          <w:lang w:eastAsia="en-GB"/>
          <w14:ligatures w14:val="none"/>
        </w:rPr>
        <w:t>eg</w:t>
      </w:r>
      <w:proofErr w:type="spellEnd"/>
      <w:r w:rsidR="00005445">
        <w:rPr>
          <w:rFonts w:eastAsia="Times New Roman" w:cstheme="minorHAnsi"/>
          <w:color w:val="3A3A3A"/>
          <w:kern w:val="0"/>
          <w:lang w:eastAsia="en-GB"/>
          <w14:ligatures w14:val="none"/>
        </w:rPr>
        <w:t xml:space="preserve"> in relation to the relief of the migrant poor </w:t>
      </w:r>
    </w:p>
    <w:p w14:paraId="277BE949" w14:textId="1434F787" w:rsidR="00005445" w:rsidRDefault="00005445" w:rsidP="004C68B6">
      <w:pPr>
        <w:rPr>
          <w:rFonts w:eastAsia="Times New Roman" w:cstheme="minorHAnsi"/>
          <w:color w:val="3A3A3A"/>
          <w:kern w:val="0"/>
          <w:lang w:eastAsia="en-GB"/>
          <w14:ligatures w14:val="none"/>
        </w:rPr>
      </w:pPr>
      <w:r>
        <w:rPr>
          <w:rFonts w:eastAsia="Times New Roman" w:cstheme="minorHAnsi"/>
          <w:b/>
          <w:bCs/>
          <w:color w:val="3A3A3A"/>
          <w:kern w:val="0"/>
          <w:lang w:eastAsia="en-GB"/>
          <w14:ligatures w14:val="none"/>
        </w:rPr>
        <w:t>Beth</w:t>
      </w:r>
      <w:r>
        <w:rPr>
          <w:rFonts w:eastAsia="Times New Roman" w:cstheme="minorHAnsi"/>
          <w:color w:val="3A3A3A"/>
          <w:kern w:val="0"/>
          <w:lang w:eastAsia="en-GB"/>
          <w14:ligatures w14:val="none"/>
        </w:rPr>
        <w:t xml:space="preserve"> thought that states started to get more interested in federal affairs during the 1830s</w:t>
      </w:r>
      <w:r w:rsidR="00035DE0">
        <w:rPr>
          <w:rFonts w:eastAsia="Times New Roman" w:cstheme="minorHAnsi"/>
          <w:color w:val="3A3A3A"/>
          <w:kern w:val="0"/>
          <w:lang w:eastAsia="en-GB"/>
          <w14:ligatures w14:val="none"/>
        </w:rPr>
        <w:t xml:space="preserve">, partly because of anxiety about controlling movement of political critics between states, </w:t>
      </w:r>
      <w:proofErr w:type="gramStart"/>
      <w:r w:rsidR="00035DE0">
        <w:rPr>
          <w:rFonts w:eastAsia="Times New Roman" w:cstheme="minorHAnsi"/>
          <w:color w:val="3A3A3A"/>
          <w:kern w:val="0"/>
          <w:lang w:eastAsia="en-GB"/>
          <w14:ligatures w14:val="none"/>
        </w:rPr>
        <w:t>and also</w:t>
      </w:r>
      <w:proofErr w:type="gramEnd"/>
      <w:r>
        <w:rPr>
          <w:rFonts w:eastAsia="Times New Roman" w:cstheme="minorHAnsi"/>
          <w:color w:val="3A3A3A"/>
          <w:kern w:val="0"/>
          <w:lang w:eastAsia="en-GB"/>
          <w14:ligatures w14:val="none"/>
        </w:rPr>
        <w:t xml:space="preserve"> in relation to the collective management of poverty. The cholera epidemic circa 1833 helped to make that an issue.</w:t>
      </w:r>
    </w:p>
    <w:p w14:paraId="0E694BBC" w14:textId="51042EDE" w:rsidR="007F0D6E" w:rsidRDefault="007F0D6E" w:rsidP="004C68B6">
      <w:pPr>
        <w:rPr>
          <w:rFonts w:eastAsia="Times New Roman" w:cstheme="minorHAnsi"/>
          <w:color w:val="3A3A3A"/>
          <w:kern w:val="0"/>
          <w:lang w:eastAsia="en-GB"/>
          <w14:ligatures w14:val="none"/>
        </w:rPr>
      </w:pPr>
      <w:r>
        <w:rPr>
          <w:rFonts w:eastAsia="Times New Roman" w:cstheme="minorHAnsi"/>
          <w:b/>
          <w:bCs/>
          <w:color w:val="3A3A3A"/>
          <w:kern w:val="0"/>
          <w:lang w:eastAsia="en-GB"/>
          <w14:ligatures w14:val="none"/>
        </w:rPr>
        <w:t xml:space="preserve">Joanna </w:t>
      </w:r>
      <w:r>
        <w:rPr>
          <w:rFonts w:eastAsia="Times New Roman" w:cstheme="minorHAnsi"/>
          <w:color w:val="3A3A3A"/>
          <w:kern w:val="0"/>
          <w:lang w:eastAsia="en-GB"/>
          <w14:ligatures w14:val="none"/>
        </w:rPr>
        <w:t xml:space="preserve">also asked whether privilege got in the way of revenue collection, and how effectively states dealt with that kind of challenge, potentially of existential significance for them. </w:t>
      </w:r>
      <w:r>
        <w:rPr>
          <w:rFonts w:eastAsia="Times New Roman" w:cstheme="minorHAnsi"/>
          <w:b/>
          <w:bCs/>
          <w:color w:val="3A3A3A"/>
          <w:kern w:val="0"/>
          <w:lang w:eastAsia="en-GB"/>
          <w14:ligatures w14:val="none"/>
        </w:rPr>
        <w:t xml:space="preserve">Beth </w:t>
      </w:r>
      <w:r>
        <w:rPr>
          <w:rFonts w:eastAsia="Times New Roman" w:cstheme="minorHAnsi"/>
          <w:color w:val="3A3A3A"/>
          <w:kern w:val="0"/>
          <w:lang w:eastAsia="en-GB"/>
          <w14:ligatures w14:val="none"/>
        </w:rPr>
        <w:t>said Bavaria did better at that than Hessen-Kassel.</w:t>
      </w:r>
    </w:p>
    <w:p w14:paraId="55FA6372" w14:textId="02F40BF8" w:rsidR="007F0D6E" w:rsidRDefault="007F0D6E" w:rsidP="004C68B6">
      <w:pPr>
        <w:rPr>
          <w:rFonts w:eastAsia="Times New Roman" w:cstheme="minorHAnsi"/>
          <w:color w:val="3A3A3A"/>
          <w:kern w:val="0"/>
          <w:lang w:eastAsia="en-GB"/>
          <w14:ligatures w14:val="none"/>
        </w:rPr>
      </w:pPr>
      <w:r>
        <w:rPr>
          <w:rFonts w:eastAsia="Times New Roman" w:cstheme="minorHAnsi"/>
          <w:b/>
          <w:bCs/>
          <w:color w:val="3A3A3A"/>
          <w:kern w:val="0"/>
          <w:lang w:eastAsia="en-GB"/>
          <w14:ligatures w14:val="none"/>
        </w:rPr>
        <w:t xml:space="preserve">Mark </w:t>
      </w:r>
      <w:r>
        <w:rPr>
          <w:rFonts w:eastAsia="Times New Roman" w:cstheme="minorHAnsi"/>
          <w:color w:val="3A3A3A"/>
          <w:kern w:val="0"/>
          <w:lang w:eastAsia="en-GB"/>
          <w14:ligatures w14:val="none"/>
        </w:rPr>
        <w:t xml:space="preserve">asked if there were any federal taxes. </w:t>
      </w:r>
      <w:r>
        <w:rPr>
          <w:rFonts w:eastAsia="Times New Roman" w:cstheme="minorHAnsi"/>
          <w:b/>
          <w:bCs/>
          <w:color w:val="3A3A3A"/>
          <w:kern w:val="0"/>
          <w:lang w:eastAsia="en-GB"/>
          <w14:ligatures w14:val="none"/>
        </w:rPr>
        <w:t xml:space="preserve">Beth </w:t>
      </w:r>
      <w:r>
        <w:rPr>
          <w:rFonts w:eastAsia="Times New Roman" w:cstheme="minorHAnsi"/>
          <w:color w:val="3A3A3A"/>
          <w:kern w:val="0"/>
          <w:lang w:eastAsia="en-GB"/>
          <w14:ligatures w14:val="none"/>
        </w:rPr>
        <w:t>said no. The Bund relied on contributions from member states.</w:t>
      </w:r>
    </w:p>
    <w:p w14:paraId="5DD3A79F" w14:textId="1BD25BFA" w:rsidR="003C333D" w:rsidRDefault="003C333D" w:rsidP="004C68B6">
      <w:pPr>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w:t>
      </w:r>
    </w:p>
    <w:p w14:paraId="78AC6CDD" w14:textId="6D15048A" w:rsidR="003C333D" w:rsidRDefault="003C333D" w:rsidP="004C68B6">
      <w:pPr>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Subsequent note from Beth, in response to a question of whether she thought there were coherent bodies of ‘liberals’ in these states at this time.</w:t>
      </w:r>
    </w:p>
    <w:p w14:paraId="6B3BDD5B" w14:textId="0FC6AA31" w:rsidR="003C333D" w:rsidRPr="003C333D" w:rsidRDefault="003C333D" w:rsidP="003C333D">
      <w:pPr>
        <w:rPr>
          <w:rFonts w:eastAsia="Times New Roman" w:cstheme="minorHAnsi"/>
          <w:color w:val="000000"/>
        </w:rPr>
      </w:pPr>
      <w:r w:rsidRPr="003C333D">
        <w:rPr>
          <w:rFonts w:eastAsia="Times New Roman" w:cstheme="minorHAnsi"/>
          <w:color w:val="000000"/>
        </w:rPr>
        <w:t xml:space="preserve">The 'liberals' question is one I too have thought about a lot over the years and my sense is that it is often a constructed / applied liberalism rather than a strong self-conscious or organised one - it doesn't mean it didn't exist, I think it's just been depicted as something more organised and uniform than it was, especially in the German south-west. In many ways liberal is used as a catch all term, meaning not conservative (which again is very loosely defined). However, newspapers and magazines are probably the most universally applicable format for political culture, as these were prolific across the German states (although still very varied in their nature). Salon culture is not something I've looked at in any </w:t>
      </w:r>
      <w:proofErr w:type="gramStart"/>
      <w:r w:rsidRPr="003C333D">
        <w:rPr>
          <w:rFonts w:eastAsia="Times New Roman" w:cstheme="minorHAnsi"/>
          <w:color w:val="000000"/>
        </w:rPr>
        <w:t>great detail</w:t>
      </w:r>
      <w:proofErr w:type="gramEnd"/>
      <w:r w:rsidRPr="003C333D">
        <w:rPr>
          <w:rFonts w:eastAsia="Times New Roman" w:cstheme="minorHAnsi"/>
          <w:color w:val="000000"/>
        </w:rPr>
        <w:t>, but I would imagine it does factor in in larger towns and cities. </w:t>
      </w:r>
    </w:p>
    <w:p w14:paraId="2D8A4A66" w14:textId="4E5436C9" w:rsidR="003C333D" w:rsidRPr="003C333D" w:rsidRDefault="003C333D" w:rsidP="003C333D">
      <w:pPr>
        <w:rPr>
          <w:rFonts w:eastAsia="Times New Roman" w:cstheme="minorHAnsi"/>
          <w:color w:val="000000"/>
        </w:rPr>
      </w:pPr>
      <w:r w:rsidRPr="003C333D">
        <w:rPr>
          <w:rFonts w:eastAsia="Times New Roman" w:cstheme="minorHAnsi"/>
          <w:color w:val="000000"/>
        </w:rPr>
        <w:lastRenderedPageBreak/>
        <w:t xml:space="preserve">The plethora of </w:t>
      </w:r>
      <w:proofErr w:type="spellStart"/>
      <w:r w:rsidRPr="003C333D">
        <w:rPr>
          <w:rFonts w:eastAsia="Times New Roman" w:cstheme="minorHAnsi"/>
          <w:i/>
          <w:iCs/>
          <w:color w:val="000000"/>
        </w:rPr>
        <w:t>Vereine</w:t>
      </w:r>
      <w:proofErr w:type="spellEnd"/>
      <w:r w:rsidRPr="003C333D">
        <w:rPr>
          <w:rFonts w:eastAsia="Times New Roman" w:cstheme="minorHAnsi"/>
          <w:color w:val="000000"/>
        </w:rPr>
        <w:t> (associations) which spring up, especially from the 1840s onwards certainly develop some political identities (again very variable in both degree of politicisation and aims) and often started as a social grouping reflecting the Estates-based social structure rather than overtly political aims (</w:t>
      </w:r>
      <w:proofErr w:type="gramStart"/>
      <w:r w:rsidRPr="003C333D">
        <w:rPr>
          <w:rFonts w:eastAsia="Times New Roman" w:cstheme="minorHAnsi"/>
          <w:color w:val="000000"/>
        </w:rPr>
        <w:t>e.g.</w:t>
      </w:r>
      <w:proofErr w:type="gramEnd"/>
      <w:r w:rsidRPr="003C333D">
        <w:rPr>
          <w:rFonts w:eastAsia="Times New Roman" w:cstheme="minorHAnsi"/>
          <w:color w:val="000000"/>
        </w:rPr>
        <w:t xml:space="preserve"> </w:t>
      </w:r>
      <w:proofErr w:type="spellStart"/>
      <w:r w:rsidRPr="003C333D">
        <w:rPr>
          <w:rFonts w:eastAsia="Times New Roman" w:cstheme="minorHAnsi"/>
          <w:color w:val="000000"/>
        </w:rPr>
        <w:t>Bauernvereine</w:t>
      </w:r>
      <w:proofErr w:type="spellEnd"/>
      <w:r w:rsidRPr="003C333D">
        <w:rPr>
          <w:rFonts w:eastAsia="Times New Roman" w:cstheme="minorHAnsi"/>
          <w:color w:val="000000"/>
        </w:rPr>
        <w:t xml:space="preserve"> to promote the interests of land-owning farmers). Having said this, </w:t>
      </w:r>
      <w:proofErr w:type="spellStart"/>
      <w:r w:rsidRPr="003C333D">
        <w:rPr>
          <w:rFonts w:eastAsia="Times New Roman" w:cstheme="minorHAnsi"/>
          <w:i/>
          <w:iCs/>
          <w:color w:val="000000"/>
        </w:rPr>
        <w:t>Vereine</w:t>
      </w:r>
      <w:proofErr w:type="spellEnd"/>
      <w:r w:rsidRPr="003C333D">
        <w:rPr>
          <w:rFonts w:eastAsia="Times New Roman" w:cstheme="minorHAnsi"/>
          <w:i/>
          <w:iCs/>
          <w:color w:val="000000"/>
        </w:rPr>
        <w:t xml:space="preserve"> </w:t>
      </w:r>
      <w:r w:rsidRPr="003C333D">
        <w:rPr>
          <w:rFonts w:eastAsia="Times New Roman" w:cstheme="minorHAnsi"/>
          <w:color w:val="000000"/>
        </w:rPr>
        <w:t xml:space="preserve">have commonly become associated with the nationalist cause in the narratives which exist around 1848 and unification, but they existed across all kinds of different social, </w:t>
      </w:r>
      <w:proofErr w:type="gramStart"/>
      <w:r w:rsidRPr="003C333D">
        <w:rPr>
          <w:rFonts w:eastAsia="Times New Roman" w:cstheme="minorHAnsi"/>
          <w:color w:val="000000"/>
        </w:rPr>
        <w:t>political</w:t>
      </w:r>
      <w:proofErr w:type="gramEnd"/>
      <w:r w:rsidRPr="003C333D">
        <w:rPr>
          <w:rFonts w:eastAsia="Times New Roman" w:cstheme="minorHAnsi"/>
          <w:color w:val="000000"/>
        </w:rPr>
        <w:t xml:space="preserve"> and intellectual groupings not just a nationalist idea. Whilst I think their overall impact on the course of the 1860s and unification is probably somewhat overstated because of the nationalist narrative, they would serve as an interesting point of discussion for the organisation and development of various political identities across the nineteenth century.</w:t>
      </w:r>
    </w:p>
    <w:p w14:paraId="2D54F1B7" w14:textId="77777777" w:rsidR="003C333D" w:rsidRPr="003C333D" w:rsidRDefault="003C333D" w:rsidP="003C333D">
      <w:pPr>
        <w:rPr>
          <w:rFonts w:eastAsia="Times New Roman" w:cstheme="minorHAnsi"/>
          <w:color w:val="000000"/>
        </w:rPr>
      </w:pPr>
      <w:r w:rsidRPr="003C333D">
        <w:rPr>
          <w:rFonts w:eastAsia="Times New Roman" w:cstheme="minorHAnsi"/>
          <w:color w:val="000000"/>
        </w:rPr>
        <w:t xml:space="preserve">It's </w:t>
      </w:r>
      <w:proofErr w:type="gramStart"/>
      <w:r w:rsidRPr="003C333D">
        <w:rPr>
          <w:rFonts w:eastAsia="Times New Roman" w:cstheme="minorHAnsi"/>
          <w:color w:val="000000"/>
        </w:rPr>
        <w:t>definitely something</w:t>
      </w:r>
      <w:proofErr w:type="gramEnd"/>
      <w:r w:rsidRPr="003C333D">
        <w:rPr>
          <w:rFonts w:eastAsia="Times New Roman" w:cstheme="minorHAnsi"/>
          <w:color w:val="000000"/>
        </w:rPr>
        <w:t xml:space="preserve"> I'd be interested in doing more work on in future, as they've tended to apply only on the peripheries of my research (</w:t>
      </w:r>
      <w:proofErr w:type="spellStart"/>
      <w:r w:rsidRPr="003C333D">
        <w:rPr>
          <w:rFonts w:eastAsia="Times New Roman" w:cstheme="minorHAnsi"/>
          <w:color w:val="000000"/>
        </w:rPr>
        <w:t>i.e</w:t>
      </w:r>
      <w:proofErr w:type="spellEnd"/>
      <w:r w:rsidRPr="003C333D">
        <w:rPr>
          <w:rFonts w:eastAsia="Times New Roman" w:cstheme="minorHAnsi"/>
          <w:color w:val="000000"/>
        </w:rPr>
        <w:t xml:space="preserve"> how to police them / regulate them).</w:t>
      </w:r>
    </w:p>
    <w:p w14:paraId="640D201B" w14:textId="77777777" w:rsidR="003C333D" w:rsidRPr="003C333D" w:rsidRDefault="003C333D" w:rsidP="004C68B6">
      <w:pPr>
        <w:rPr>
          <w:rFonts w:eastAsia="Times New Roman" w:cstheme="minorHAnsi"/>
          <w:kern w:val="0"/>
          <w:lang w:eastAsia="en-GB"/>
          <w14:ligatures w14:val="none"/>
        </w:rPr>
      </w:pPr>
    </w:p>
    <w:p w14:paraId="78442DB4" w14:textId="77777777" w:rsidR="004C68B6" w:rsidRPr="00FE6949" w:rsidRDefault="004C68B6" w:rsidP="006277C0"/>
    <w:p w14:paraId="4F0F2383" w14:textId="4EC99BB1" w:rsidR="006277C0" w:rsidRPr="006277C0" w:rsidRDefault="006277C0" w:rsidP="00F25830"/>
    <w:sectPr w:rsidR="006277C0" w:rsidRPr="006277C0">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02400F" w14:textId="77777777" w:rsidR="002F0170" w:rsidRDefault="002F0170" w:rsidP="006B00AA">
      <w:pPr>
        <w:spacing w:after="0" w:line="240" w:lineRule="auto"/>
      </w:pPr>
      <w:r>
        <w:separator/>
      </w:r>
    </w:p>
  </w:endnote>
  <w:endnote w:type="continuationSeparator" w:id="0">
    <w:p w14:paraId="0D2D9A12" w14:textId="77777777" w:rsidR="002F0170" w:rsidRDefault="002F0170" w:rsidP="006B00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PT Sans">
    <w:charset w:val="00"/>
    <w:family w:val="swiss"/>
    <w:pitch w:val="variable"/>
    <w:sig w:usb0="A00002EF" w:usb1="5000204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2E60D" w14:textId="77777777" w:rsidR="002F0170" w:rsidRDefault="002F0170" w:rsidP="006B00AA">
      <w:pPr>
        <w:spacing w:after="0" w:line="240" w:lineRule="auto"/>
      </w:pPr>
      <w:r>
        <w:separator/>
      </w:r>
    </w:p>
  </w:footnote>
  <w:footnote w:type="continuationSeparator" w:id="0">
    <w:p w14:paraId="2337AC5C" w14:textId="77777777" w:rsidR="002F0170" w:rsidRDefault="002F0170" w:rsidP="006B00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3864672"/>
      <w:docPartObj>
        <w:docPartGallery w:val="Page Numbers (Top of Page)"/>
        <w:docPartUnique/>
      </w:docPartObj>
    </w:sdtPr>
    <w:sdtEndPr>
      <w:rPr>
        <w:noProof/>
      </w:rPr>
    </w:sdtEndPr>
    <w:sdtContent>
      <w:p w14:paraId="40BA41C9" w14:textId="2F12FC3D" w:rsidR="006B00AA" w:rsidRDefault="006B00A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66025FA" w14:textId="77777777" w:rsidR="006B00AA" w:rsidRDefault="006B00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47299"/>
    <w:multiLevelType w:val="hybridMultilevel"/>
    <w:tmpl w:val="4022A5F6"/>
    <w:lvl w:ilvl="0" w:tplc="DD6E5B34">
      <w:start w:val="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567232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B94"/>
    <w:rsid w:val="00005445"/>
    <w:rsid w:val="00035DE0"/>
    <w:rsid w:val="001E5398"/>
    <w:rsid w:val="001F0DC7"/>
    <w:rsid w:val="002C591A"/>
    <w:rsid w:val="002C7BDF"/>
    <w:rsid w:val="002F0170"/>
    <w:rsid w:val="00302866"/>
    <w:rsid w:val="0035488D"/>
    <w:rsid w:val="003C333D"/>
    <w:rsid w:val="003F4AA7"/>
    <w:rsid w:val="003F6377"/>
    <w:rsid w:val="00443C44"/>
    <w:rsid w:val="004459F3"/>
    <w:rsid w:val="004C68B6"/>
    <w:rsid w:val="004F3B5E"/>
    <w:rsid w:val="00524C1C"/>
    <w:rsid w:val="0059716F"/>
    <w:rsid w:val="005A2BE5"/>
    <w:rsid w:val="005B2B48"/>
    <w:rsid w:val="005F128B"/>
    <w:rsid w:val="005F3303"/>
    <w:rsid w:val="005F7B94"/>
    <w:rsid w:val="006277C0"/>
    <w:rsid w:val="00646640"/>
    <w:rsid w:val="00670DEE"/>
    <w:rsid w:val="006B00AA"/>
    <w:rsid w:val="00710097"/>
    <w:rsid w:val="00737156"/>
    <w:rsid w:val="0074493C"/>
    <w:rsid w:val="00767055"/>
    <w:rsid w:val="00767313"/>
    <w:rsid w:val="00774FE6"/>
    <w:rsid w:val="0078294A"/>
    <w:rsid w:val="007A2650"/>
    <w:rsid w:val="007C2BA3"/>
    <w:rsid w:val="007F0D6E"/>
    <w:rsid w:val="008259C5"/>
    <w:rsid w:val="008827C2"/>
    <w:rsid w:val="008B4698"/>
    <w:rsid w:val="00910145"/>
    <w:rsid w:val="0094597D"/>
    <w:rsid w:val="00980D6A"/>
    <w:rsid w:val="009B1582"/>
    <w:rsid w:val="009B3B56"/>
    <w:rsid w:val="009B3EFE"/>
    <w:rsid w:val="00A20D26"/>
    <w:rsid w:val="00A4442F"/>
    <w:rsid w:val="00A47A74"/>
    <w:rsid w:val="00A70824"/>
    <w:rsid w:val="00A806E8"/>
    <w:rsid w:val="00A928ED"/>
    <w:rsid w:val="00B712FA"/>
    <w:rsid w:val="00B93C05"/>
    <w:rsid w:val="00BB0088"/>
    <w:rsid w:val="00BE4E01"/>
    <w:rsid w:val="00C5241E"/>
    <w:rsid w:val="00C730D2"/>
    <w:rsid w:val="00C83367"/>
    <w:rsid w:val="00D51A7F"/>
    <w:rsid w:val="00D61535"/>
    <w:rsid w:val="00D74A0F"/>
    <w:rsid w:val="00D90DA6"/>
    <w:rsid w:val="00D96D15"/>
    <w:rsid w:val="00DA08F4"/>
    <w:rsid w:val="00DA7407"/>
    <w:rsid w:val="00DF2320"/>
    <w:rsid w:val="00E0315D"/>
    <w:rsid w:val="00E3751A"/>
    <w:rsid w:val="00E621E9"/>
    <w:rsid w:val="00F01D61"/>
    <w:rsid w:val="00F24528"/>
    <w:rsid w:val="00F25830"/>
    <w:rsid w:val="00F424A2"/>
    <w:rsid w:val="00FA12E1"/>
    <w:rsid w:val="00FE176E"/>
    <w:rsid w:val="00FE69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59798"/>
  <w15:chartTrackingRefBased/>
  <w15:docId w15:val="{4016DE8E-FF58-49AB-A5A2-2ADC8E34E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7B94"/>
  </w:style>
  <w:style w:type="paragraph" w:styleId="Heading3">
    <w:name w:val="heading 3"/>
    <w:basedOn w:val="Normal"/>
    <w:link w:val="Heading3Char"/>
    <w:uiPriority w:val="9"/>
    <w:qFormat/>
    <w:rsid w:val="004C68B6"/>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xcontentpasted1">
    <w:name w:val="x_x_contentpasted1"/>
    <w:basedOn w:val="DefaultParagraphFont"/>
    <w:rsid w:val="005F7B94"/>
  </w:style>
  <w:style w:type="character" w:styleId="Hyperlink">
    <w:name w:val="Hyperlink"/>
    <w:basedOn w:val="DefaultParagraphFont"/>
    <w:uiPriority w:val="99"/>
    <w:unhideWhenUsed/>
    <w:rsid w:val="00E3751A"/>
    <w:rPr>
      <w:color w:val="0000FF"/>
      <w:u w:val="single"/>
    </w:rPr>
  </w:style>
  <w:style w:type="paragraph" w:styleId="Header">
    <w:name w:val="header"/>
    <w:basedOn w:val="Normal"/>
    <w:link w:val="HeaderChar"/>
    <w:uiPriority w:val="99"/>
    <w:unhideWhenUsed/>
    <w:rsid w:val="006B00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00AA"/>
  </w:style>
  <w:style w:type="paragraph" w:styleId="Footer">
    <w:name w:val="footer"/>
    <w:basedOn w:val="Normal"/>
    <w:link w:val="FooterChar"/>
    <w:uiPriority w:val="99"/>
    <w:unhideWhenUsed/>
    <w:rsid w:val="006B00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00AA"/>
  </w:style>
  <w:style w:type="paragraph" w:styleId="ListParagraph">
    <w:name w:val="List Paragraph"/>
    <w:basedOn w:val="Normal"/>
    <w:uiPriority w:val="34"/>
    <w:qFormat/>
    <w:rsid w:val="0094597D"/>
    <w:pPr>
      <w:ind w:left="720"/>
      <w:contextualSpacing/>
    </w:pPr>
  </w:style>
  <w:style w:type="character" w:customStyle="1" w:styleId="Heading3Char">
    <w:name w:val="Heading 3 Char"/>
    <w:basedOn w:val="DefaultParagraphFont"/>
    <w:link w:val="Heading3"/>
    <w:uiPriority w:val="9"/>
    <w:rsid w:val="004C68B6"/>
    <w:rPr>
      <w:rFonts w:ascii="Times New Roman" w:eastAsia="Times New Roman" w:hAnsi="Times New Roman" w:cs="Times New Roman"/>
      <w:b/>
      <w:bCs/>
      <w:kern w:val="0"/>
      <w:sz w:val="27"/>
      <w:szCs w:val="27"/>
      <w:lang w:eastAsia="en-GB"/>
      <w14:ligatures w14:val="none"/>
    </w:rPr>
  </w:style>
  <w:style w:type="character" w:customStyle="1" w:styleId="media-delimiter">
    <w:name w:val="media-delimiter"/>
    <w:basedOn w:val="DefaultParagraphFont"/>
    <w:rsid w:val="004C68B6"/>
  </w:style>
  <w:style w:type="paragraph" w:styleId="Revision">
    <w:name w:val="Revision"/>
    <w:hidden/>
    <w:uiPriority w:val="99"/>
    <w:semiHidden/>
    <w:rsid w:val="001F0DC7"/>
    <w:pPr>
      <w:spacing w:after="0" w:line="240" w:lineRule="auto"/>
    </w:pPr>
  </w:style>
  <w:style w:type="character" w:styleId="CommentReference">
    <w:name w:val="annotation reference"/>
    <w:basedOn w:val="DefaultParagraphFont"/>
    <w:uiPriority w:val="99"/>
    <w:semiHidden/>
    <w:unhideWhenUsed/>
    <w:rsid w:val="00E621E9"/>
    <w:rPr>
      <w:sz w:val="16"/>
      <w:szCs w:val="16"/>
    </w:rPr>
  </w:style>
  <w:style w:type="paragraph" w:styleId="CommentText">
    <w:name w:val="annotation text"/>
    <w:basedOn w:val="Normal"/>
    <w:link w:val="CommentTextChar"/>
    <w:uiPriority w:val="99"/>
    <w:unhideWhenUsed/>
    <w:rsid w:val="00E621E9"/>
    <w:pPr>
      <w:spacing w:line="240" w:lineRule="auto"/>
    </w:pPr>
    <w:rPr>
      <w:sz w:val="20"/>
      <w:szCs w:val="20"/>
    </w:rPr>
  </w:style>
  <w:style w:type="character" w:customStyle="1" w:styleId="CommentTextChar">
    <w:name w:val="Comment Text Char"/>
    <w:basedOn w:val="DefaultParagraphFont"/>
    <w:link w:val="CommentText"/>
    <w:uiPriority w:val="99"/>
    <w:rsid w:val="00E621E9"/>
    <w:rPr>
      <w:sz w:val="20"/>
      <w:szCs w:val="20"/>
    </w:rPr>
  </w:style>
  <w:style w:type="paragraph" w:styleId="CommentSubject">
    <w:name w:val="annotation subject"/>
    <w:basedOn w:val="CommentText"/>
    <w:next w:val="CommentText"/>
    <w:link w:val="CommentSubjectChar"/>
    <w:uiPriority w:val="99"/>
    <w:semiHidden/>
    <w:unhideWhenUsed/>
    <w:rsid w:val="00E621E9"/>
    <w:rPr>
      <w:b/>
      <w:bCs/>
    </w:rPr>
  </w:style>
  <w:style w:type="character" w:customStyle="1" w:styleId="CommentSubjectChar">
    <w:name w:val="Comment Subject Char"/>
    <w:basedOn w:val="CommentTextChar"/>
    <w:link w:val="CommentSubject"/>
    <w:uiPriority w:val="99"/>
    <w:semiHidden/>
    <w:rsid w:val="00E621E9"/>
    <w:rPr>
      <w:b/>
      <w:bCs/>
      <w:sz w:val="20"/>
      <w:szCs w:val="20"/>
    </w:rPr>
  </w:style>
  <w:style w:type="character" w:styleId="FollowedHyperlink">
    <w:name w:val="FollowedHyperlink"/>
    <w:basedOn w:val="DefaultParagraphFont"/>
    <w:uiPriority w:val="99"/>
    <w:semiHidden/>
    <w:unhideWhenUsed/>
    <w:rsid w:val="00D74A0F"/>
    <w:rPr>
      <w:color w:val="954F72" w:themeColor="followedHyperlink"/>
      <w:u w:val="single"/>
    </w:rPr>
  </w:style>
  <w:style w:type="character" w:styleId="UnresolvedMention">
    <w:name w:val="Unresolved Mention"/>
    <w:basedOn w:val="DefaultParagraphFont"/>
    <w:uiPriority w:val="99"/>
    <w:semiHidden/>
    <w:unhideWhenUsed/>
    <w:rsid w:val="00D74A0F"/>
    <w:rPr>
      <w:color w:val="605E5C"/>
      <w:shd w:val="clear" w:color="auto" w:fill="E1DFDD"/>
    </w:rPr>
  </w:style>
  <w:style w:type="character" w:customStyle="1" w:styleId="cf01">
    <w:name w:val="cf01"/>
    <w:basedOn w:val="DefaultParagraphFont"/>
    <w:rsid w:val="008827C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9872">
      <w:bodyDiv w:val="1"/>
      <w:marLeft w:val="0"/>
      <w:marRight w:val="0"/>
      <w:marTop w:val="0"/>
      <w:marBottom w:val="0"/>
      <w:divBdr>
        <w:top w:val="none" w:sz="0" w:space="0" w:color="auto"/>
        <w:left w:val="none" w:sz="0" w:space="0" w:color="auto"/>
        <w:bottom w:val="none" w:sz="0" w:space="0" w:color="auto"/>
        <w:right w:val="none" w:sz="0" w:space="0" w:color="auto"/>
      </w:divBdr>
      <w:divsChild>
        <w:div w:id="362678549">
          <w:marLeft w:val="480"/>
          <w:marRight w:val="0"/>
          <w:marTop w:val="0"/>
          <w:marBottom w:val="0"/>
          <w:divBdr>
            <w:top w:val="none" w:sz="0" w:space="0" w:color="auto"/>
            <w:left w:val="none" w:sz="0" w:space="0" w:color="auto"/>
            <w:bottom w:val="none" w:sz="0" w:space="0" w:color="auto"/>
            <w:right w:val="none" w:sz="0" w:space="0" w:color="auto"/>
          </w:divBdr>
          <w:divsChild>
            <w:div w:id="154497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042431">
      <w:bodyDiv w:val="1"/>
      <w:marLeft w:val="0"/>
      <w:marRight w:val="0"/>
      <w:marTop w:val="0"/>
      <w:marBottom w:val="0"/>
      <w:divBdr>
        <w:top w:val="none" w:sz="0" w:space="0" w:color="auto"/>
        <w:left w:val="none" w:sz="0" w:space="0" w:color="auto"/>
        <w:bottom w:val="none" w:sz="0" w:space="0" w:color="auto"/>
        <w:right w:val="none" w:sz="0" w:space="0" w:color="auto"/>
      </w:divBdr>
      <w:divsChild>
        <w:div w:id="1874727254">
          <w:marLeft w:val="0"/>
          <w:marRight w:val="0"/>
          <w:marTop w:val="0"/>
          <w:marBottom w:val="0"/>
          <w:divBdr>
            <w:top w:val="none" w:sz="0" w:space="0" w:color="auto"/>
            <w:left w:val="none" w:sz="0" w:space="0" w:color="auto"/>
            <w:bottom w:val="none" w:sz="0" w:space="0" w:color="auto"/>
            <w:right w:val="none" w:sz="0" w:space="0" w:color="auto"/>
          </w:divBdr>
        </w:div>
        <w:div w:id="207032933">
          <w:marLeft w:val="0"/>
          <w:marRight w:val="0"/>
          <w:marTop w:val="0"/>
          <w:marBottom w:val="0"/>
          <w:divBdr>
            <w:top w:val="none" w:sz="0" w:space="0" w:color="auto"/>
            <w:left w:val="none" w:sz="0" w:space="0" w:color="auto"/>
            <w:bottom w:val="none" w:sz="0" w:space="0" w:color="auto"/>
            <w:right w:val="none" w:sz="0" w:space="0" w:color="auto"/>
          </w:divBdr>
        </w:div>
      </w:divsChild>
    </w:div>
    <w:div w:id="2012297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Frankfurter_Wachenstur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en.wikipedia.org/wiki/Wartburg_Festival" TargetMode="External"/><Relationship Id="rId12" Type="http://schemas.openxmlformats.org/officeDocument/2006/relationships/hyperlink" Target="https://solo.bodleian.ox.ac.uk/discovery/fulldisplay?docid=alma990107242520107026&amp;context=L&amp;vid=44OXF_INST:SOLO&amp;lang=en&amp;search_scope=MyInstitution&amp;adaptor=Local%20Search%20Engine&amp;tab=Everything&amp;query=any%2Ccontains%2Cpost%20subsistence%20crisis&amp;offset=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egruyter-com.ezproxy-prd.bodleian.ox.ac.uk/document/doi/10.1515/9783110630541/htm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degruyter.com/document/doi/10.1515/9783899498363/html?lang=en" TargetMode="External"/><Relationship Id="rId4" Type="http://schemas.openxmlformats.org/officeDocument/2006/relationships/webSettings" Target="webSettings.xml"/><Relationship Id="rId9" Type="http://schemas.openxmlformats.org/officeDocument/2006/relationships/hyperlink" Target="https://en.wikipedia.org/wiki/War_of_the_Bavarian_Successio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3433</Words>
  <Characters>19573</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Innes</dc:creator>
  <cp:keywords/>
  <dc:description/>
  <cp:lastModifiedBy>Mark Philp</cp:lastModifiedBy>
  <cp:revision>2</cp:revision>
  <dcterms:created xsi:type="dcterms:W3CDTF">2023-11-27T08:31:00Z</dcterms:created>
  <dcterms:modified xsi:type="dcterms:W3CDTF">2023-11-27T08:31:00Z</dcterms:modified>
</cp:coreProperties>
</file>